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77D8" w14:textId="77777777" w:rsidR="00C062AC" w:rsidRDefault="00C062AC" w:rsidP="00250EA6">
      <w:pPr>
        <w:tabs>
          <w:tab w:val="left" w:pos="7797"/>
        </w:tabs>
        <w:ind w:right="1693"/>
        <w:rPr>
          <w:rFonts w:cs="Arial"/>
          <w:b/>
          <w:sz w:val="27"/>
          <w:szCs w:val="27"/>
        </w:rPr>
      </w:pPr>
    </w:p>
    <w:p w14:paraId="027D3ECB" w14:textId="77777777" w:rsidR="009D15F6" w:rsidRDefault="009D15F6" w:rsidP="00250EA6">
      <w:pPr>
        <w:tabs>
          <w:tab w:val="left" w:pos="7797"/>
        </w:tabs>
        <w:ind w:right="1693"/>
        <w:rPr>
          <w:rFonts w:cs="Arial"/>
          <w:b/>
          <w:sz w:val="27"/>
          <w:szCs w:val="27"/>
        </w:rPr>
      </w:pPr>
    </w:p>
    <w:p w14:paraId="5ECFA986" w14:textId="42402B67" w:rsidR="000F039C" w:rsidRPr="00B93FDB" w:rsidRDefault="00C81152" w:rsidP="00250EA6">
      <w:pPr>
        <w:tabs>
          <w:tab w:val="left" w:pos="7797"/>
        </w:tabs>
        <w:ind w:right="1693"/>
        <w:rPr>
          <w:rFonts w:cs="Arial"/>
          <w:b/>
          <w:sz w:val="27"/>
          <w:szCs w:val="27"/>
          <w:lang w:val="it-IT"/>
        </w:rPr>
      </w:pPr>
      <w:r w:rsidRPr="00B93FDB">
        <w:rPr>
          <w:rFonts w:cs="Arial"/>
          <w:b/>
          <w:sz w:val="27"/>
          <w:szCs w:val="27"/>
          <w:lang w:val="it-IT"/>
        </w:rPr>
        <w:t xml:space="preserve">Nonostante un anno impegnativo, TGW Logistics ha investito 140 milioni di </w:t>
      </w:r>
      <w:proofErr w:type="gramStart"/>
      <w:r w:rsidRPr="00B93FDB">
        <w:rPr>
          <w:rFonts w:cs="Arial"/>
          <w:b/>
          <w:sz w:val="27"/>
          <w:szCs w:val="27"/>
          <w:lang w:val="it-IT"/>
        </w:rPr>
        <w:t>Euro</w:t>
      </w:r>
      <w:proofErr w:type="gramEnd"/>
      <w:r w:rsidRPr="00B93FDB">
        <w:rPr>
          <w:rFonts w:cs="Arial"/>
          <w:b/>
          <w:sz w:val="27"/>
          <w:szCs w:val="27"/>
          <w:lang w:val="it-IT"/>
        </w:rPr>
        <w:t xml:space="preserve"> nella sede di Marchtrenk</w:t>
      </w:r>
    </w:p>
    <w:p w14:paraId="5FA75637" w14:textId="77777777" w:rsidR="00E95184" w:rsidRPr="00B93FDB" w:rsidRDefault="00E95184" w:rsidP="00F97F67">
      <w:pPr>
        <w:tabs>
          <w:tab w:val="left" w:pos="7797"/>
        </w:tabs>
        <w:ind w:right="1693"/>
        <w:jc w:val="both"/>
        <w:rPr>
          <w:rFonts w:cs="Arial"/>
          <w:b/>
          <w:szCs w:val="20"/>
          <w:lang w:val="it-IT"/>
        </w:rPr>
      </w:pPr>
    </w:p>
    <w:p w14:paraId="6400355D" w14:textId="62F52A78" w:rsidR="001D576D" w:rsidRPr="00B93FDB" w:rsidRDefault="00827CFA" w:rsidP="000950A4">
      <w:pPr>
        <w:pStyle w:val="Listenabsatz"/>
        <w:numPr>
          <w:ilvl w:val="0"/>
          <w:numId w:val="24"/>
        </w:numPr>
        <w:tabs>
          <w:tab w:val="left" w:pos="7797"/>
        </w:tabs>
        <w:ind w:right="1693"/>
        <w:rPr>
          <w:rFonts w:cs="Arial"/>
          <w:b/>
          <w:sz w:val="22"/>
          <w:lang w:val="it-IT"/>
        </w:rPr>
      </w:pPr>
      <w:r w:rsidRPr="00B93FDB">
        <w:rPr>
          <w:rFonts w:cs="Arial"/>
          <w:b/>
          <w:sz w:val="22"/>
          <w:lang w:val="it-IT"/>
        </w:rPr>
        <w:t>L'azienda dell'Alta Austria operante nel campo della tecnologia ha incrementato il proprio fatturato del 3,5 percento, portandolo a 955,8 milioni di Euro</w:t>
      </w:r>
    </w:p>
    <w:p w14:paraId="2FAB48D2" w14:textId="2AF0517D" w:rsidR="00C43D18" w:rsidRPr="00B93FDB" w:rsidRDefault="00214260" w:rsidP="000950A4">
      <w:pPr>
        <w:pStyle w:val="Listenabsatz"/>
        <w:numPr>
          <w:ilvl w:val="0"/>
          <w:numId w:val="24"/>
        </w:numPr>
        <w:tabs>
          <w:tab w:val="left" w:pos="7797"/>
        </w:tabs>
        <w:ind w:right="1693"/>
        <w:rPr>
          <w:rFonts w:cs="Arial"/>
          <w:b/>
          <w:sz w:val="22"/>
          <w:lang w:val="it-IT"/>
        </w:rPr>
      </w:pPr>
      <w:r w:rsidRPr="00B93FDB">
        <w:rPr>
          <w:rFonts w:cs="Arial"/>
          <w:b/>
          <w:sz w:val="22"/>
          <w:lang w:val="it-IT"/>
        </w:rPr>
        <w:t xml:space="preserve">Investimenti nell'ampliamento dell'headquarter a Marchtrenk, </w:t>
      </w:r>
      <w:r w:rsidRPr="00B93FDB">
        <w:rPr>
          <w:rFonts w:cs="Arial"/>
          <w:b/>
          <w:sz w:val="22"/>
          <w:lang w:val="it-IT"/>
        </w:rPr>
        <w:br/>
        <w:t>nella ricerca e sviluppo e nel personale</w:t>
      </w:r>
    </w:p>
    <w:p w14:paraId="79C30239" w14:textId="3D332DE0" w:rsidR="00EB0504" w:rsidRPr="00B93FDB" w:rsidRDefault="007A1D44" w:rsidP="000950A4">
      <w:pPr>
        <w:pStyle w:val="Listenabsatz"/>
        <w:numPr>
          <w:ilvl w:val="0"/>
          <w:numId w:val="24"/>
        </w:numPr>
        <w:tabs>
          <w:tab w:val="left" w:pos="7797"/>
        </w:tabs>
        <w:ind w:right="1693"/>
        <w:rPr>
          <w:rFonts w:cs="Arial"/>
          <w:b/>
          <w:sz w:val="22"/>
          <w:lang w:val="it-IT"/>
        </w:rPr>
      </w:pPr>
      <w:r w:rsidRPr="00B93FDB">
        <w:rPr>
          <w:rFonts w:cs="Arial"/>
          <w:b/>
          <w:sz w:val="22"/>
          <w:lang w:val="it-IT"/>
        </w:rPr>
        <w:t xml:space="preserve">TGW Logistics si colloca tra le aziende Top 10 leader di mercato a livello internazionale specializzate in </w:t>
      </w:r>
      <w:proofErr w:type="spellStart"/>
      <w:r w:rsidRPr="00B93FDB">
        <w:rPr>
          <w:rFonts w:cs="Arial"/>
          <w:b/>
          <w:sz w:val="22"/>
          <w:lang w:val="it-IT"/>
        </w:rPr>
        <w:t>intralogistica</w:t>
      </w:r>
      <w:proofErr w:type="spellEnd"/>
    </w:p>
    <w:p w14:paraId="04B53A3B" w14:textId="2D6DE8A7" w:rsidR="005B3AAE" w:rsidRPr="00B93FDB" w:rsidRDefault="008B57F5" w:rsidP="005B3AAE">
      <w:pPr>
        <w:pStyle w:val="Listenabsatz"/>
        <w:tabs>
          <w:tab w:val="left" w:pos="7797"/>
        </w:tabs>
        <w:ind w:right="1268"/>
        <w:rPr>
          <w:rFonts w:cs="Arial"/>
          <w:b/>
          <w:szCs w:val="20"/>
          <w:lang w:val="it-IT"/>
        </w:rPr>
      </w:pPr>
      <w:r w:rsidRPr="00B93FDB">
        <w:rPr>
          <w:rFonts w:cs="Arial"/>
          <w:b/>
          <w:szCs w:val="20"/>
          <w:lang w:val="it-IT"/>
        </w:rPr>
        <w:t xml:space="preserve"> </w:t>
      </w:r>
    </w:p>
    <w:p w14:paraId="04615BD8" w14:textId="77EA4C14" w:rsidR="006211C0" w:rsidRPr="00B93FDB" w:rsidRDefault="00A93BE5" w:rsidP="00EC12B5">
      <w:pPr>
        <w:tabs>
          <w:tab w:val="left" w:pos="7797"/>
        </w:tabs>
        <w:ind w:right="1693"/>
        <w:jc w:val="both"/>
        <w:rPr>
          <w:rFonts w:cs="Arial"/>
          <w:b/>
          <w:szCs w:val="20"/>
          <w:lang w:val="it-IT"/>
        </w:rPr>
      </w:pPr>
      <w:r w:rsidRPr="00B93FDB">
        <w:rPr>
          <w:rFonts w:cs="Arial"/>
          <w:b/>
          <w:szCs w:val="20"/>
          <w:lang w:val="it-IT"/>
        </w:rPr>
        <w:t xml:space="preserve">(Marchtrenk, 20 ottobre 2023) TGW Logistics ha chiuso l'esercizio fiscale 2022/2023 (dal </w:t>
      </w:r>
      <w:r w:rsidR="00B93FDB" w:rsidRPr="00B93FDB">
        <w:rPr>
          <w:rFonts w:cs="Arial"/>
          <w:b/>
          <w:szCs w:val="20"/>
          <w:lang w:val="it-IT"/>
        </w:rPr>
        <w:t>1° luglio</w:t>
      </w:r>
      <w:r w:rsidRPr="00B93FDB">
        <w:rPr>
          <w:rFonts w:cs="Arial"/>
          <w:b/>
          <w:szCs w:val="20"/>
          <w:lang w:val="it-IT"/>
        </w:rPr>
        <w:t xml:space="preserve"> 2022 al 30 giugno 2023). Sebbene la situazione generale presenti numerose sfide, l'azienda operante a livello internazionale nel settore tecnologico, specializzata in progettazione, installazione e assistenza al funzionamento di centri di logistica ad alta automatizzazione, ha innalzato il proprio fatturato a 955,8 milioni di </w:t>
      </w:r>
      <w:proofErr w:type="gramStart"/>
      <w:r w:rsidRPr="00B93FDB">
        <w:rPr>
          <w:rFonts w:cs="Arial"/>
          <w:b/>
          <w:szCs w:val="20"/>
          <w:lang w:val="it-IT"/>
        </w:rPr>
        <w:t>Euro</w:t>
      </w:r>
      <w:proofErr w:type="gramEnd"/>
      <w:r w:rsidRPr="00B93FDB">
        <w:rPr>
          <w:rFonts w:cs="Arial"/>
          <w:b/>
          <w:szCs w:val="20"/>
          <w:lang w:val="it-IT"/>
        </w:rPr>
        <w:t>. Il numero di collaboratori e collaboratrici è salito a 4.382.</w:t>
      </w:r>
    </w:p>
    <w:p w14:paraId="62229283" w14:textId="77777777" w:rsidR="001424C6" w:rsidRPr="00B93FDB" w:rsidRDefault="001424C6" w:rsidP="006211C0">
      <w:pPr>
        <w:tabs>
          <w:tab w:val="left" w:pos="6237"/>
          <w:tab w:val="left" w:pos="7797"/>
        </w:tabs>
        <w:ind w:right="1693"/>
        <w:jc w:val="both"/>
        <w:rPr>
          <w:rFonts w:cs="Arial"/>
          <w:szCs w:val="20"/>
          <w:lang w:val="it-IT"/>
        </w:rPr>
      </w:pPr>
    </w:p>
    <w:p w14:paraId="635BA426" w14:textId="63C7CFA8" w:rsidR="00F23766" w:rsidRPr="00B93FDB" w:rsidRDefault="00AC0507" w:rsidP="006211C0">
      <w:pPr>
        <w:tabs>
          <w:tab w:val="left" w:pos="6237"/>
          <w:tab w:val="left" w:pos="7797"/>
        </w:tabs>
        <w:ind w:right="1693"/>
        <w:jc w:val="both"/>
        <w:rPr>
          <w:rFonts w:cs="Arial"/>
          <w:szCs w:val="20"/>
          <w:lang w:val="it-IT"/>
        </w:rPr>
      </w:pPr>
      <w:r w:rsidRPr="00B93FDB">
        <w:rPr>
          <w:rFonts w:cs="Arial"/>
          <w:szCs w:val="20"/>
          <w:lang w:val="it-IT"/>
        </w:rPr>
        <w:t xml:space="preserve">Rivolgendo lo sguardo ai mesi passati, Harald Schröpf, </w:t>
      </w:r>
      <w:proofErr w:type="spellStart"/>
      <w:r w:rsidRPr="00B93FDB">
        <w:rPr>
          <w:rFonts w:cs="Arial"/>
          <w:szCs w:val="20"/>
          <w:lang w:val="it-IT"/>
        </w:rPr>
        <w:t>Chief</w:t>
      </w:r>
      <w:proofErr w:type="spellEnd"/>
      <w:r w:rsidRPr="00B93FDB">
        <w:rPr>
          <w:rFonts w:cs="Arial"/>
          <w:szCs w:val="20"/>
          <w:lang w:val="it-IT"/>
        </w:rPr>
        <w:t xml:space="preserve"> Executive </w:t>
      </w:r>
      <w:proofErr w:type="spellStart"/>
      <w:r w:rsidRPr="00B93FDB">
        <w:rPr>
          <w:rFonts w:cs="Arial"/>
          <w:szCs w:val="20"/>
          <w:lang w:val="it-IT"/>
        </w:rPr>
        <w:t>Officer</w:t>
      </w:r>
      <w:proofErr w:type="spellEnd"/>
      <w:r w:rsidRPr="00B93FDB">
        <w:rPr>
          <w:rFonts w:cs="Arial"/>
          <w:szCs w:val="20"/>
          <w:lang w:val="it-IT"/>
        </w:rPr>
        <w:t>, sottolinea:</w:t>
      </w:r>
    </w:p>
    <w:p w14:paraId="4DB5299C" w14:textId="77777777" w:rsidR="00F23766" w:rsidRPr="00B93FDB" w:rsidRDefault="00F23766" w:rsidP="00F97F67">
      <w:pPr>
        <w:tabs>
          <w:tab w:val="left" w:pos="7797"/>
        </w:tabs>
        <w:ind w:right="1693"/>
        <w:jc w:val="both"/>
        <w:rPr>
          <w:rFonts w:cs="Arial"/>
          <w:szCs w:val="20"/>
          <w:lang w:val="it-IT"/>
        </w:rPr>
      </w:pPr>
    </w:p>
    <w:p w14:paraId="72D58318" w14:textId="5F867472" w:rsidR="00A41338" w:rsidRPr="00B93FDB" w:rsidRDefault="00F23766" w:rsidP="00D27255">
      <w:pPr>
        <w:tabs>
          <w:tab w:val="left" w:pos="6237"/>
          <w:tab w:val="left" w:pos="7797"/>
        </w:tabs>
        <w:ind w:left="567" w:right="2260"/>
        <w:jc w:val="both"/>
        <w:rPr>
          <w:rFonts w:cs="Arial"/>
          <w:i/>
          <w:szCs w:val="20"/>
          <w:lang w:val="it-IT"/>
        </w:rPr>
      </w:pPr>
      <w:r w:rsidRPr="00B93FDB">
        <w:rPr>
          <w:rFonts w:cs="Arial"/>
          <w:i/>
          <w:szCs w:val="20"/>
          <w:lang w:val="it-IT"/>
        </w:rPr>
        <w:t xml:space="preserve">"Il fatturato di TGW Logistics è cresciuto in percentuale del 3,5 e si attesta a 955,8 milioni; le nostre entrate riferite agli ordini equivalgono a circa un miliardo di </w:t>
      </w:r>
      <w:proofErr w:type="gramStart"/>
      <w:r w:rsidRPr="00B93FDB">
        <w:rPr>
          <w:rFonts w:cs="Arial"/>
          <w:i/>
          <w:szCs w:val="20"/>
          <w:lang w:val="it-IT"/>
        </w:rPr>
        <w:t>Euro</w:t>
      </w:r>
      <w:proofErr w:type="gramEnd"/>
      <w:r w:rsidRPr="00B93FDB">
        <w:rPr>
          <w:rFonts w:cs="Arial"/>
          <w:i/>
          <w:szCs w:val="20"/>
          <w:lang w:val="it-IT"/>
        </w:rPr>
        <w:t>. Il massiccio aumento dei costi nei nostri progetti internazionali e le interruzioni delle catene di fornitura ci hanno posto, insieme a molte altre ditte, di fronte a grandi sfide."</w:t>
      </w:r>
    </w:p>
    <w:p w14:paraId="14C15940" w14:textId="77777777" w:rsidR="00FC3533" w:rsidRPr="00B93FDB" w:rsidRDefault="00FC3533" w:rsidP="00D27255">
      <w:pPr>
        <w:tabs>
          <w:tab w:val="left" w:pos="6237"/>
          <w:tab w:val="left" w:pos="7797"/>
        </w:tabs>
        <w:ind w:left="567" w:right="2260"/>
        <w:jc w:val="both"/>
        <w:rPr>
          <w:rFonts w:cs="Arial"/>
          <w:iCs/>
          <w:szCs w:val="20"/>
          <w:lang w:val="it-IT"/>
        </w:rPr>
      </w:pPr>
    </w:p>
    <w:p w14:paraId="601065B0" w14:textId="77777777" w:rsidR="00070000" w:rsidRPr="00B93FDB" w:rsidRDefault="00070000" w:rsidP="00070000">
      <w:pPr>
        <w:tabs>
          <w:tab w:val="left" w:pos="6237"/>
          <w:tab w:val="left" w:pos="7797"/>
        </w:tabs>
        <w:ind w:right="1693"/>
        <w:jc w:val="both"/>
        <w:rPr>
          <w:rFonts w:cs="Arial"/>
          <w:szCs w:val="20"/>
          <w:lang w:val="it-IT"/>
        </w:rPr>
      </w:pPr>
      <w:r w:rsidRPr="00B93FDB">
        <w:rPr>
          <w:rFonts w:cs="Arial"/>
          <w:szCs w:val="20"/>
          <w:lang w:val="it-IT"/>
        </w:rPr>
        <w:t>Il know-how austriaco nell'</w:t>
      </w:r>
      <w:proofErr w:type="spellStart"/>
      <w:r w:rsidRPr="00B93FDB">
        <w:rPr>
          <w:rFonts w:cs="Arial"/>
          <w:szCs w:val="20"/>
          <w:lang w:val="it-IT"/>
        </w:rPr>
        <w:t>intralogistica</w:t>
      </w:r>
      <w:proofErr w:type="spellEnd"/>
      <w:r w:rsidRPr="00B93FDB">
        <w:rPr>
          <w:rFonts w:cs="Arial"/>
          <w:szCs w:val="20"/>
          <w:lang w:val="it-IT"/>
        </w:rPr>
        <w:t xml:space="preserve"> è un punto di riferimento per molte aziende nazionali e internazionali operanti nei settori della moda e dei tessuti, dei generi alimentari nonché dei beni di consumo e dei prodotti industriali. Nell'esercizio fiscale 2022/23, tra l'altro, TGW Logistics ha ricevuto ordini per i propri processi automatizzati anche dal primario rivenditore di abbigliamento sportivo INTERSPORT Austria, dal distributore numero 1 di alimenti ICA in Svezia e dall'azienda specializzata in eFood Picnic.</w:t>
      </w:r>
    </w:p>
    <w:p w14:paraId="3985552E" w14:textId="77777777" w:rsidR="004434CB" w:rsidRPr="00B93FDB" w:rsidRDefault="004434CB" w:rsidP="00FC3533">
      <w:pPr>
        <w:tabs>
          <w:tab w:val="left" w:pos="6237"/>
          <w:tab w:val="left" w:pos="7797"/>
        </w:tabs>
        <w:ind w:right="1693"/>
        <w:jc w:val="both"/>
        <w:rPr>
          <w:rFonts w:cs="Arial"/>
          <w:szCs w:val="20"/>
          <w:lang w:val="it-IT"/>
        </w:rPr>
      </w:pPr>
    </w:p>
    <w:p w14:paraId="353C86C2" w14:textId="19DEB333" w:rsidR="008570CD" w:rsidRPr="00B93FDB" w:rsidRDefault="008570CD" w:rsidP="00B93BE6">
      <w:pPr>
        <w:tabs>
          <w:tab w:val="left" w:pos="6237"/>
          <w:tab w:val="left" w:pos="7797"/>
        </w:tabs>
        <w:ind w:right="1693"/>
        <w:jc w:val="both"/>
        <w:rPr>
          <w:rFonts w:cs="Arial"/>
          <w:b/>
          <w:szCs w:val="20"/>
          <w:lang w:val="it-IT"/>
        </w:rPr>
      </w:pPr>
      <w:r w:rsidRPr="00B93FDB">
        <w:rPr>
          <w:rFonts w:cs="Arial"/>
          <w:b/>
          <w:szCs w:val="20"/>
          <w:lang w:val="it-IT"/>
        </w:rPr>
        <w:lastRenderedPageBreak/>
        <w:t>La crescita degli anni precedenti ha rallentato i processi</w:t>
      </w:r>
    </w:p>
    <w:p w14:paraId="34015556" w14:textId="77777777" w:rsidR="00487007" w:rsidRPr="00B93FDB" w:rsidRDefault="00487007" w:rsidP="00B93BE6">
      <w:pPr>
        <w:tabs>
          <w:tab w:val="left" w:pos="6237"/>
          <w:tab w:val="left" w:pos="7797"/>
        </w:tabs>
        <w:ind w:right="1693"/>
        <w:jc w:val="both"/>
        <w:rPr>
          <w:rFonts w:cs="Arial"/>
          <w:bCs/>
          <w:szCs w:val="20"/>
          <w:lang w:val="it-IT"/>
        </w:rPr>
      </w:pPr>
    </w:p>
    <w:p w14:paraId="3C51ACB4" w14:textId="372D2C18" w:rsidR="00B93BE6" w:rsidRPr="00B93FDB" w:rsidRDefault="00B93BE6" w:rsidP="00B93BE6">
      <w:pPr>
        <w:tabs>
          <w:tab w:val="left" w:pos="6237"/>
          <w:tab w:val="left" w:pos="7797"/>
        </w:tabs>
        <w:ind w:right="1693"/>
        <w:jc w:val="both"/>
        <w:rPr>
          <w:rFonts w:cs="Arial"/>
          <w:bCs/>
          <w:szCs w:val="20"/>
          <w:lang w:val="it-IT"/>
        </w:rPr>
      </w:pPr>
      <w:r w:rsidRPr="00B93FDB">
        <w:rPr>
          <w:rFonts w:cs="Arial"/>
          <w:bCs/>
          <w:szCs w:val="20"/>
          <w:lang w:val="it-IT"/>
        </w:rPr>
        <w:t xml:space="preserve">TGW Logistics è fortemente cresciuta negli anni scorsi, ha ampliato le proprie competenze e ha raggiunto le primarie aziende Top 10 internazionali specializzate in </w:t>
      </w:r>
      <w:proofErr w:type="spellStart"/>
      <w:r w:rsidRPr="00B93FDB">
        <w:rPr>
          <w:rFonts w:cs="Arial"/>
          <w:bCs/>
          <w:szCs w:val="20"/>
          <w:lang w:val="it-IT"/>
        </w:rPr>
        <w:t>intralogistica</w:t>
      </w:r>
      <w:proofErr w:type="spellEnd"/>
      <w:r w:rsidRPr="00B93FDB">
        <w:rPr>
          <w:rFonts w:cs="Arial"/>
          <w:bCs/>
          <w:szCs w:val="20"/>
          <w:lang w:val="it-IT"/>
        </w:rPr>
        <w:t>. La crescita repentina ha tuttavia anche rallentato i processi in alcuni settori e pertanto l'azienda operante nella tecnologia ha avviato un programma di trasformazioni, che mette sul banco di prova le strutture, innalza la velocità e predispone al meglio l'azienda per le sfide future.</w:t>
      </w:r>
    </w:p>
    <w:p w14:paraId="51C8D093" w14:textId="77777777" w:rsidR="00B93BE6" w:rsidRPr="00B93FDB" w:rsidRDefault="00B93BE6" w:rsidP="00622F70">
      <w:pPr>
        <w:tabs>
          <w:tab w:val="left" w:pos="6237"/>
          <w:tab w:val="left" w:pos="7797"/>
        </w:tabs>
        <w:ind w:right="2260"/>
        <w:jc w:val="both"/>
        <w:rPr>
          <w:rFonts w:cs="Arial"/>
          <w:b/>
          <w:szCs w:val="20"/>
          <w:lang w:val="it-IT"/>
        </w:rPr>
      </w:pPr>
    </w:p>
    <w:p w14:paraId="790A720B" w14:textId="2B7D0108" w:rsidR="00622F70" w:rsidRPr="00B93FDB" w:rsidRDefault="00487007" w:rsidP="00622F70">
      <w:pPr>
        <w:tabs>
          <w:tab w:val="left" w:pos="6237"/>
          <w:tab w:val="left" w:pos="7797"/>
        </w:tabs>
        <w:ind w:right="2260"/>
        <w:jc w:val="both"/>
        <w:rPr>
          <w:rFonts w:cs="Arial"/>
          <w:i/>
          <w:szCs w:val="20"/>
          <w:lang w:val="it-IT"/>
        </w:rPr>
      </w:pPr>
      <w:r w:rsidRPr="00B93FDB">
        <w:rPr>
          <w:rFonts w:cs="Arial"/>
          <w:b/>
          <w:szCs w:val="20"/>
          <w:lang w:val="it-IT"/>
        </w:rPr>
        <w:t>20 percento in più per ricerca e sviluppo</w:t>
      </w:r>
    </w:p>
    <w:p w14:paraId="20C5F993" w14:textId="77777777" w:rsidR="00622F70" w:rsidRPr="00B93FDB" w:rsidRDefault="00622F70" w:rsidP="00622F70">
      <w:pPr>
        <w:tabs>
          <w:tab w:val="left" w:pos="6237"/>
          <w:tab w:val="left" w:pos="7797"/>
        </w:tabs>
        <w:ind w:right="2402"/>
        <w:jc w:val="both"/>
        <w:rPr>
          <w:rFonts w:cs="Arial"/>
          <w:b/>
          <w:szCs w:val="20"/>
          <w:lang w:val="it-IT"/>
        </w:rPr>
      </w:pPr>
    </w:p>
    <w:p w14:paraId="41610F3B" w14:textId="3EEBB9DC" w:rsidR="0074122E" w:rsidRPr="00B93FDB" w:rsidRDefault="00622F70" w:rsidP="00622F70">
      <w:pPr>
        <w:tabs>
          <w:tab w:val="left" w:pos="6237"/>
          <w:tab w:val="left" w:pos="7797"/>
        </w:tabs>
        <w:ind w:right="1693"/>
        <w:jc w:val="both"/>
        <w:rPr>
          <w:rFonts w:cs="Arial"/>
          <w:szCs w:val="20"/>
          <w:lang w:val="it-IT"/>
        </w:rPr>
      </w:pPr>
      <w:r w:rsidRPr="00B93FDB">
        <w:rPr>
          <w:rFonts w:cs="Arial"/>
          <w:szCs w:val="20"/>
          <w:lang w:val="it-IT"/>
        </w:rPr>
        <w:t xml:space="preserve">Il budget per la ricerca e lo sviluppo è stato innalzato a 47,7 milioni di </w:t>
      </w:r>
      <w:proofErr w:type="gramStart"/>
      <w:r w:rsidRPr="00B93FDB">
        <w:rPr>
          <w:rFonts w:cs="Arial"/>
          <w:szCs w:val="20"/>
          <w:lang w:val="it-IT"/>
        </w:rPr>
        <w:t>Euro</w:t>
      </w:r>
      <w:proofErr w:type="gramEnd"/>
      <w:r w:rsidRPr="00B93FDB">
        <w:rPr>
          <w:rFonts w:cs="Arial"/>
          <w:szCs w:val="20"/>
          <w:lang w:val="it-IT"/>
        </w:rPr>
        <w:t xml:space="preserve">, pari a circa il 20 percento in più rispetto all'anno precedente. </w:t>
      </w:r>
      <w:proofErr w:type="gramStart"/>
      <w:r w:rsidRPr="00B93FDB">
        <w:rPr>
          <w:rFonts w:cs="Arial"/>
          <w:szCs w:val="20"/>
          <w:lang w:val="it-IT"/>
        </w:rPr>
        <w:t>In particolare</w:t>
      </w:r>
      <w:proofErr w:type="gramEnd"/>
      <w:r w:rsidRPr="00B93FDB">
        <w:rPr>
          <w:rFonts w:cs="Arial"/>
          <w:szCs w:val="20"/>
          <w:lang w:val="it-IT"/>
        </w:rPr>
        <w:t xml:space="preserve"> l'attenzione è stata posta su robotica, intelligenza artificiale e digitalizzazione. Oltra a una nuova struttura per la ricerca e lo sviluppo, l'azienda ha fortemente investito anche in collaborazioni strategiche, ad esempio con SAFELOG nel settore dei robot mobili. </w:t>
      </w:r>
    </w:p>
    <w:p w14:paraId="1B014720" w14:textId="77777777" w:rsidR="0074122E" w:rsidRPr="00B93FDB" w:rsidRDefault="0074122E" w:rsidP="00622F70">
      <w:pPr>
        <w:tabs>
          <w:tab w:val="left" w:pos="6237"/>
          <w:tab w:val="left" w:pos="7797"/>
        </w:tabs>
        <w:ind w:right="1693"/>
        <w:jc w:val="both"/>
        <w:rPr>
          <w:rFonts w:cs="Arial"/>
          <w:szCs w:val="20"/>
          <w:lang w:val="it-IT"/>
        </w:rPr>
      </w:pPr>
    </w:p>
    <w:p w14:paraId="6F1DC91F" w14:textId="6E9944C5" w:rsidR="004D6C04" w:rsidRDefault="00652910" w:rsidP="00622F70">
      <w:pPr>
        <w:tabs>
          <w:tab w:val="left" w:pos="6237"/>
          <w:tab w:val="left" w:pos="7797"/>
        </w:tabs>
        <w:ind w:right="1693"/>
        <w:jc w:val="both"/>
        <w:rPr>
          <w:rFonts w:cs="Arial"/>
          <w:szCs w:val="20"/>
        </w:rPr>
      </w:pPr>
      <w:r>
        <w:rPr>
          <w:rFonts w:cs="Arial"/>
          <w:noProof/>
          <w:szCs w:val="20"/>
        </w:rPr>
        <w:drawing>
          <wp:inline distT="0" distB="0" distL="0" distR="0" wp14:anchorId="3DF4C963" wp14:editId="6D158B98">
            <wp:extent cx="3321050" cy="2152555"/>
            <wp:effectExtent l="0" t="0" r="0" b="635"/>
            <wp:docPr id="1410450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859" cy="2157616"/>
                    </a:xfrm>
                    <a:prstGeom prst="rect">
                      <a:avLst/>
                    </a:prstGeom>
                    <a:noFill/>
                  </pic:spPr>
                </pic:pic>
              </a:graphicData>
            </a:graphic>
          </wp:inline>
        </w:drawing>
      </w:r>
    </w:p>
    <w:p w14:paraId="691DCCC5" w14:textId="77777777" w:rsidR="008570CD" w:rsidRDefault="008570CD" w:rsidP="0074122E">
      <w:pPr>
        <w:ind w:right="1693"/>
        <w:jc w:val="both"/>
        <w:rPr>
          <w:rFonts w:cs="Arial"/>
          <w:b/>
          <w:bCs/>
          <w:szCs w:val="20"/>
        </w:rPr>
      </w:pPr>
    </w:p>
    <w:p w14:paraId="798E2909" w14:textId="46A6FD4D" w:rsidR="0074122E" w:rsidRPr="00B93FDB" w:rsidRDefault="0074122E" w:rsidP="0074122E">
      <w:pPr>
        <w:ind w:right="1693"/>
        <w:jc w:val="both"/>
        <w:rPr>
          <w:rFonts w:cs="Arial"/>
          <w:b/>
          <w:bCs/>
          <w:szCs w:val="20"/>
          <w:lang w:val="it-IT"/>
        </w:rPr>
      </w:pPr>
      <w:r w:rsidRPr="00B93FDB">
        <w:rPr>
          <w:rFonts w:cs="Arial"/>
          <w:b/>
          <w:bCs/>
          <w:szCs w:val="20"/>
          <w:lang w:val="it-IT"/>
        </w:rPr>
        <w:t xml:space="preserve">140 milioni di </w:t>
      </w:r>
      <w:proofErr w:type="gramStart"/>
      <w:r w:rsidRPr="00B93FDB">
        <w:rPr>
          <w:rFonts w:cs="Arial"/>
          <w:b/>
          <w:bCs/>
          <w:szCs w:val="20"/>
          <w:lang w:val="it-IT"/>
        </w:rPr>
        <w:t>Euro</w:t>
      </w:r>
      <w:proofErr w:type="gramEnd"/>
      <w:r w:rsidRPr="00B93FDB">
        <w:rPr>
          <w:rFonts w:cs="Arial"/>
          <w:b/>
          <w:bCs/>
          <w:szCs w:val="20"/>
          <w:lang w:val="it-IT"/>
        </w:rPr>
        <w:t xml:space="preserve"> per la sede in Alta Austria</w:t>
      </w:r>
    </w:p>
    <w:p w14:paraId="5DC92EBC" w14:textId="77777777" w:rsidR="0074122E" w:rsidRPr="00B93FDB" w:rsidRDefault="0074122E" w:rsidP="0074122E">
      <w:pPr>
        <w:ind w:right="1693"/>
        <w:jc w:val="both"/>
        <w:rPr>
          <w:rFonts w:cs="Arial"/>
          <w:b/>
          <w:bCs/>
          <w:szCs w:val="20"/>
          <w:lang w:val="it-IT"/>
        </w:rPr>
      </w:pPr>
    </w:p>
    <w:p w14:paraId="494BE0CF" w14:textId="0293C84B" w:rsidR="00622F70" w:rsidRPr="00B93FDB" w:rsidRDefault="0074122E" w:rsidP="0074122E">
      <w:pPr>
        <w:ind w:right="1693"/>
        <w:jc w:val="both"/>
        <w:rPr>
          <w:rFonts w:cs="Arial"/>
          <w:iCs/>
          <w:szCs w:val="20"/>
          <w:lang w:val="it-IT"/>
        </w:rPr>
      </w:pPr>
      <w:r w:rsidRPr="00B93FDB">
        <w:rPr>
          <w:rFonts w:cs="Arial"/>
          <w:szCs w:val="20"/>
          <w:lang w:val="it-IT"/>
        </w:rPr>
        <w:t xml:space="preserve">A partire dall'estate 2024 TGW Logistics ha in previsione l'ampliamento del proprio headquarter internazionale a Marchtrenk con nuove aree per uffici, produzione e magazzino. Con un investimento di 140 milioni di </w:t>
      </w:r>
      <w:proofErr w:type="gramStart"/>
      <w:r w:rsidRPr="00B93FDB">
        <w:rPr>
          <w:rFonts w:cs="Arial"/>
          <w:szCs w:val="20"/>
          <w:lang w:val="it-IT"/>
        </w:rPr>
        <w:t>Euro</w:t>
      </w:r>
      <w:proofErr w:type="gramEnd"/>
      <w:r w:rsidRPr="00B93FDB">
        <w:rPr>
          <w:rFonts w:cs="Arial"/>
          <w:szCs w:val="20"/>
          <w:lang w:val="it-IT"/>
        </w:rPr>
        <w:t xml:space="preserve"> </w:t>
      </w:r>
      <w:r w:rsidR="00B93FDB" w:rsidRPr="00B93FDB">
        <w:rPr>
          <w:rFonts w:cs="Arial"/>
          <w:szCs w:val="20"/>
          <w:lang w:val="it-IT"/>
        </w:rPr>
        <w:t>nella fase finale</w:t>
      </w:r>
      <w:r w:rsidRPr="00B93FDB">
        <w:rPr>
          <w:rFonts w:cs="Arial"/>
          <w:szCs w:val="20"/>
          <w:lang w:val="it-IT"/>
        </w:rPr>
        <w:t xml:space="preserve">, l'azienda specializzata in </w:t>
      </w:r>
      <w:proofErr w:type="spellStart"/>
      <w:r w:rsidRPr="00B93FDB">
        <w:rPr>
          <w:rFonts w:cs="Arial"/>
          <w:szCs w:val="20"/>
          <w:lang w:val="it-IT"/>
        </w:rPr>
        <w:t>intralogistica</w:t>
      </w:r>
      <w:proofErr w:type="spellEnd"/>
      <w:r w:rsidRPr="00B93FDB">
        <w:rPr>
          <w:rFonts w:cs="Arial"/>
          <w:szCs w:val="20"/>
          <w:lang w:val="it-IT"/>
        </w:rPr>
        <w:t xml:space="preserve"> definisce le basi per la crescita nei prossimi anni. </w:t>
      </w:r>
      <w:r w:rsidRPr="00B93FDB">
        <w:rPr>
          <w:rFonts w:cs="Arial"/>
          <w:iCs/>
          <w:szCs w:val="20"/>
          <w:lang w:val="it-IT"/>
        </w:rPr>
        <w:t>L'ampliamento è inoltre un chiaro segnale dell'importanza della sede in Alta Austria e della crescita di successo di TGW Logistics.</w:t>
      </w:r>
    </w:p>
    <w:p w14:paraId="663AB5E3" w14:textId="77777777" w:rsidR="00EC7DD6" w:rsidRPr="00B93FDB" w:rsidRDefault="00EC7DD6" w:rsidP="0074122E">
      <w:pPr>
        <w:ind w:right="1693"/>
        <w:jc w:val="both"/>
        <w:rPr>
          <w:rFonts w:cs="Arial"/>
          <w:iCs/>
          <w:szCs w:val="20"/>
          <w:lang w:val="it-IT"/>
        </w:rPr>
      </w:pPr>
    </w:p>
    <w:p w14:paraId="545C16A2" w14:textId="77777777" w:rsidR="008570CD" w:rsidRPr="00B93FDB" w:rsidRDefault="008570CD" w:rsidP="005B3AAE">
      <w:pPr>
        <w:tabs>
          <w:tab w:val="left" w:pos="6237"/>
          <w:tab w:val="left" w:pos="7797"/>
        </w:tabs>
        <w:ind w:right="2260"/>
        <w:jc w:val="both"/>
        <w:rPr>
          <w:rFonts w:cs="Arial"/>
          <w:b/>
          <w:szCs w:val="20"/>
          <w:lang w:val="it-IT"/>
        </w:rPr>
      </w:pPr>
    </w:p>
    <w:p w14:paraId="720EA46C" w14:textId="65595291" w:rsidR="00C22E73" w:rsidRPr="00B93FDB" w:rsidRDefault="00C22E73" w:rsidP="005B3AAE">
      <w:pPr>
        <w:tabs>
          <w:tab w:val="left" w:pos="6237"/>
          <w:tab w:val="left" w:pos="7797"/>
        </w:tabs>
        <w:ind w:right="2260"/>
        <w:jc w:val="both"/>
        <w:rPr>
          <w:rFonts w:cs="Arial"/>
          <w:b/>
          <w:szCs w:val="20"/>
          <w:lang w:val="it-IT"/>
        </w:rPr>
      </w:pPr>
      <w:r w:rsidRPr="00B93FDB">
        <w:rPr>
          <w:rFonts w:cs="Arial"/>
          <w:b/>
          <w:szCs w:val="20"/>
          <w:lang w:val="it-IT"/>
        </w:rPr>
        <w:lastRenderedPageBreak/>
        <w:t>Harald Schröpf lascerà la propria funzione di CEO</w:t>
      </w:r>
    </w:p>
    <w:p w14:paraId="69AE69F1" w14:textId="77777777" w:rsidR="004A67CE" w:rsidRPr="00B93FDB" w:rsidRDefault="004A67CE" w:rsidP="005B3AAE">
      <w:pPr>
        <w:tabs>
          <w:tab w:val="left" w:pos="6237"/>
          <w:tab w:val="left" w:pos="7797"/>
        </w:tabs>
        <w:ind w:right="2260"/>
        <w:jc w:val="both"/>
        <w:rPr>
          <w:rFonts w:cs="Arial"/>
          <w:b/>
          <w:szCs w:val="20"/>
          <w:lang w:val="it-IT"/>
        </w:rPr>
      </w:pPr>
    </w:p>
    <w:p w14:paraId="2D5C7188" w14:textId="1905D678" w:rsidR="00C22E73" w:rsidRPr="00B93FDB" w:rsidRDefault="00BA204C" w:rsidP="00421FF9">
      <w:pPr>
        <w:tabs>
          <w:tab w:val="left" w:pos="6237"/>
          <w:tab w:val="left" w:pos="7797"/>
        </w:tabs>
        <w:ind w:right="1693"/>
        <w:jc w:val="both"/>
        <w:rPr>
          <w:szCs w:val="20"/>
          <w:lang w:val="it-IT"/>
        </w:rPr>
      </w:pPr>
      <w:r w:rsidRPr="00B93FDB">
        <w:rPr>
          <w:szCs w:val="20"/>
          <w:lang w:val="it-IT"/>
        </w:rPr>
        <w:t xml:space="preserve">Nel 2024 Harald Schröpf lascerà per proprio desiderio la funzione di </w:t>
      </w:r>
      <w:proofErr w:type="spellStart"/>
      <w:r w:rsidRPr="00B93FDB">
        <w:rPr>
          <w:szCs w:val="20"/>
          <w:lang w:val="it-IT"/>
        </w:rPr>
        <w:t>Chief</w:t>
      </w:r>
      <w:proofErr w:type="spellEnd"/>
      <w:r w:rsidRPr="00B93FDB">
        <w:rPr>
          <w:szCs w:val="20"/>
          <w:lang w:val="it-IT"/>
        </w:rPr>
        <w:t xml:space="preserve"> Executive </w:t>
      </w:r>
      <w:proofErr w:type="spellStart"/>
      <w:r w:rsidRPr="00B93FDB">
        <w:rPr>
          <w:szCs w:val="20"/>
          <w:lang w:val="it-IT"/>
        </w:rPr>
        <w:t>Officer</w:t>
      </w:r>
      <w:proofErr w:type="spellEnd"/>
      <w:r w:rsidRPr="00B93FDB">
        <w:rPr>
          <w:szCs w:val="20"/>
          <w:lang w:val="it-IT"/>
        </w:rPr>
        <w:t xml:space="preserve"> di TGW Logistics. Manterrà in ogni caso tutte le funzioni e responsabilità fino al passaggio di consegne al successore ancora da nominare. Harald Schröpf ribadisce:</w:t>
      </w:r>
    </w:p>
    <w:p w14:paraId="3B1DC55E" w14:textId="77777777" w:rsidR="009659A5" w:rsidRPr="00B93FDB" w:rsidRDefault="009659A5" w:rsidP="00421FF9">
      <w:pPr>
        <w:tabs>
          <w:tab w:val="left" w:pos="6237"/>
          <w:tab w:val="left" w:pos="7797"/>
        </w:tabs>
        <w:ind w:right="1693"/>
        <w:jc w:val="both"/>
        <w:rPr>
          <w:szCs w:val="20"/>
          <w:lang w:val="it-IT"/>
        </w:rPr>
      </w:pPr>
    </w:p>
    <w:p w14:paraId="5117B8D8" w14:textId="1E2F757E" w:rsidR="00C22E73" w:rsidRPr="00B93FDB" w:rsidRDefault="00C22E73" w:rsidP="00AE4A1E">
      <w:pPr>
        <w:tabs>
          <w:tab w:val="left" w:pos="6237"/>
          <w:tab w:val="left" w:pos="7230"/>
        </w:tabs>
        <w:ind w:left="567" w:right="2260"/>
        <w:jc w:val="both"/>
        <w:rPr>
          <w:rFonts w:cs="Arial"/>
          <w:i/>
          <w:szCs w:val="20"/>
          <w:lang w:val="it-IT"/>
        </w:rPr>
      </w:pPr>
      <w:r w:rsidRPr="00B93FDB">
        <w:rPr>
          <w:rFonts w:cs="Arial"/>
          <w:i/>
          <w:szCs w:val="20"/>
          <w:lang w:val="it-IT"/>
        </w:rPr>
        <w:t>"La decisione non è stata affatto semplice per me, perché mi stanno molto a cuore TGW Logistics e tutto il nostro personale. Allo stesso tempo questo passaggio era stato deciso da tempo. Già da un paio di anni ho informato la nostra proprietà, la fondazione privata TGW Future, del mio desiderio di aprire un nuovo capitolo nella mia vita, dedicando più tempo alla famiglia e a interessi privati.</w:t>
      </w:r>
      <w:r w:rsidRPr="00B93FDB">
        <w:rPr>
          <w:lang w:val="it-IT"/>
        </w:rPr>
        <w:t xml:space="preserve"> </w:t>
      </w:r>
      <w:r w:rsidRPr="00B93FDB">
        <w:rPr>
          <w:rFonts w:cs="Arial"/>
          <w:i/>
          <w:szCs w:val="20"/>
          <w:lang w:val="it-IT"/>
        </w:rPr>
        <w:t>La proprietà ed io siamo convinti che il cambio alla testa dell'azienda apporterà nuove dinamiche e freschi impulsi, per proseguire coerentemente sulla strada della crescita di successo già intrapresa negli anni scorsi."</w:t>
      </w:r>
    </w:p>
    <w:p w14:paraId="07824566" w14:textId="77777777" w:rsidR="00D3729A" w:rsidRPr="00B93FDB" w:rsidRDefault="00D3729A" w:rsidP="00AE4A1E">
      <w:pPr>
        <w:tabs>
          <w:tab w:val="left" w:pos="6237"/>
          <w:tab w:val="left" w:pos="7230"/>
        </w:tabs>
        <w:ind w:left="567" w:right="2260"/>
        <w:jc w:val="both"/>
        <w:rPr>
          <w:rFonts w:cs="Arial"/>
          <w:i/>
          <w:szCs w:val="20"/>
          <w:lang w:val="it-IT"/>
        </w:rPr>
      </w:pPr>
    </w:p>
    <w:p w14:paraId="2657C9D3" w14:textId="2DC79685" w:rsidR="00D3729A" w:rsidRPr="00B93FDB" w:rsidRDefault="00D3729A" w:rsidP="005372F0">
      <w:pPr>
        <w:tabs>
          <w:tab w:val="left" w:pos="6237"/>
        </w:tabs>
        <w:ind w:right="1693"/>
        <w:jc w:val="both"/>
        <w:rPr>
          <w:rFonts w:cs="Arial"/>
          <w:i/>
          <w:szCs w:val="20"/>
          <w:lang w:val="it-IT"/>
        </w:rPr>
      </w:pPr>
      <w:r w:rsidRPr="00B93FDB">
        <w:rPr>
          <w:szCs w:val="20"/>
          <w:lang w:val="it-IT"/>
        </w:rPr>
        <w:t xml:space="preserve">Sotto la direzione di Harald Schröpf il fatturato di TGW Logistics è aumentato da 621 a 955 milioni di </w:t>
      </w:r>
      <w:proofErr w:type="gramStart"/>
      <w:r w:rsidRPr="00B93FDB">
        <w:rPr>
          <w:szCs w:val="20"/>
          <w:lang w:val="it-IT"/>
        </w:rPr>
        <w:t>Euro</w:t>
      </w:r>
      <w:proofErr w:type="gramEnd"/>
      <w:r w:rsidRPr="00B93FDB">
        <w:rPr>
          <w:szCs w:val="20"/>
          <w:lang w:val="it-IT"/>
        </w:rPr>
        <w:t>, mentre il numero di collaboratori e collaboratrici è salito nello stesso periodo da 2.776 a oltre 4.400.</w:t>
      </w:r>
    </w:p>
    <w:p w14:paraId="43AA5C49" w14:textId="77777777" w:rsidR="00622F70" w:rsidRPr="00B93FDB" w:rsidRDefault="00622F70" w:rsidP="00C935D1">
      <w:pPr>
        <w:ind w:right="1693"/>
        <w:jc w:val="both"/>
        <w:rPr>
          <w:rFonts w:cs="Arial"/>
          <w:szCs w:val="20"/>
          <w:lang w:val="it-IT"/>
        </w:rPr>
      </w:pPr>
    </w:p>
    <w:p w14:paraId="6C8A354D" w14:textId="77777777" w:rsidR="00940DD5" w:rsidRPr="00B93FDB" w:rsidRDefault="00940DD5" w:rsidP="00C935D1">
      <w:pPr>
        <w:ind w:right="1693"/>
        <w:jc w:val="both"/>
        <w:rPr>
          <w:rFonts w:cs="Arial"/>
          <w:szCs w:val="20"/>
          <w:lang w:val="it-IT"/>
        </w:rPr>
      </w:pPr>
    </w:p>
    <w:p w14:paraId="61E248C1" w14:textId="77777777" w:rsidR="00940DD5" w:rsidRPr="00B93FDB" w:rsidRDefault="00940DD5" w:rsidP="00C935D1">
      <w:pPr>
        <w:ind w:right="1693"/>
        <w:jc w:val="both"/>
        <w:rPr>
          <w:rFonts w:cs="Arial"/>
          <w:szCs w:val="20"/>
          <w:lang w:val="it-IT"/>
        </w:rPr>
      </w:pPr>
    </w:p>
    <w:p w14:paraId="50880321" w14:textId="77777777" w:rsidR="00940DD5" w:rsidRPr="00B93FDB" w:rsidRDefault="00940DD5" w:rsidP="00C935D1">
      <w:pPr>
        <w:ind w:right="1693"/>
        <w:jc w:val="both"/>
        <w:rPr>
          <w:rFonts w:cs="Arial"/>
          <w:szCs w:val="20"/>
          <w:lang w:val="it-IT"/>
        </w:rPr>
      </w:pPr>
    </w:p>
    <w:p w14:paraId="0D7237A9" w14:textId="77777777" w:rsidR="0024402A" w:rsidRPr="00B93FDB" w:rsidRDefault="0024402A" w:rsidP="00C935D1">
      <w:pPr>
        <w:ind w:right="1693"/>
        <w:jc w:val="both"/>
        <w:rPr>
          <w:rFonts w:cs="Arial"/>
          <w:iCs/>
          <w:szCs w:val="20"/>
          <w:lang w:val="it-IT"/>
        </w:rPr>
      </w:pPr>
    </w:p>
    <w:p w14:paraId="09442181" w14:textId="77777777" w:rsidR="0024402A" w:rsidRPr="00B93FDB" w:rsidRDefault="0024402A" w:rsidP="00C935D1">
      <w:pPr>
        <w:ind w:right="1693"/>
        <w:jc w:val="both"/>
        <w:rPr>
          <w:rFonts w:cs="Arial"/>
          <w:iCs/>
          <w:szCs w:val="20"/>
          <w:lang w:val="it-IT"/>
        </w:rPr>
      </w:pPr>
    </w:p>
    <w:p w14:paraId="6837F2BE" w14:textId="77777777" w:rsidR="0024402A" w:rsidRPr="00B93FDB" w:rsidRDefault="0024402A" w:rsidP="00C935D1">
      <w:pPr>
        <w:ind w:right="1693"/>
        <w:jc w:val="both"/>
        <w:rPr>
          <w:rFonts w:cs="Arial"/>
          <w:iCs/>
          <w:szCs w:val="20"/>
          <w:lang w:val="it-IT"/>
        </w:rPr>
      </w:pPr>
    </w:p>
    <w:p w14:paraId="4D04A429" w14:textId="77777777" w:rsidR="0024402A" w:rsidRPr="00B93FDB" w:rsidRDefault="0024402A" w:rsidP="00C935D1">
      <w:pPr>
        <w:ind w:right="1693"/>
        <w:jc w:val="both"/>
        <w:rPr>
          <w:rFonts w:cs="Arial"/>
          <w:iCs/>
          <w:szCs w:val="20"/>
          <w:lang w:val="it-IT"/>
        </w:rPr>
      </w:pPr>
    </w:p>
    <w:p w14:paraId="05C3B93B" w14:textId="77777777" w:rsidR="0024402A" w:rsidRPr="00B93FDB" w:rsidRDefault="0024402A" w:rsidP="00C935D1">
      <w:pPr>
        <w:ind w:right="1693"/>
        <w:jc w:val="both"/>
        <w:rPr>
          <w:rFonts w:cs="Arial"/>
          <w:iCs/>
          <w:szCs w:val="20"/>
          <w:lang w:val="it-IT"/>
        </w:rPr>
      </w:pPr>
    </w:p>
    <w:p w14:paraId="3044B063" w14:textId="77777777" w:rsidR="0024402A" w:rsidRPr="00B93FDB" w:rsidRDefault="0024402A" w:rsidP="00C935D1">
      <w:pPr>
        <w:ind w:right="1693"/>
        <w:jc w:val="both"/>
        <w:rPr>
          <w:rFonts w:cs="Arial"/>
          <w:iCs/>
          <w:szCs w:val="20"/>
          <w:lang w:val="it-IT"/>
        </w:rPr>
      </w:pPr>
    </w:p>
    <w:p w14:paraId="7D09A862" w14:textId="77777777" w:rsidR="0024402A" w:rsidRPr="00B93FDB" w:rsidRDefault="0024402A" w:rsidP="00C935D1">
      <w:pPr>
        <w:ind w:right="1693"/>
        <w:jc w:val="both"/>
        <w:rPr>
          <w:rFonts w:cs="Arial"/>
          <w:iCs/>
          <w:szCs w:val="20"/>
          <w:lang w:val="it-IT"/>
        </w:rPr>
      </w:pPr>
    </w:p>
    <w:p w14:paraId="34613C23" w14:textId="77777777" w:rsidR="0024402A" w:rsidRPr="00B93FDB" w:rsidRDefault="0024402A" w:rsidP="00C935D1">
      <w:pPr>
        <w:ind w:right="1693"/>
        <w:jc w:val="both"/>
        <w:rPr>
          <w:rFonts w:cs="Arial"/>
          <w:iCs/>
          <w:szCs w:val="20"/>
          <w:lang w:val="it-IT"/>
        </w:rPr>
      </w:pPr>
    </w:p>
    <w:p w14:paraId="42A614C3" w14:textId="77777777" w:rsidR="0079248A" w:rsidRDefault="0079248A" w:rsidP="00C935D1">
      <w:pPr>
        <w:ind w:right="1693"/>
        <w:jc w:val="both"/>
        <w:rPr>
          <w:rFonts w:cs="Arial"/>
          <w:iCs/>
          <w:szCs w:val="20"/>
          <w:lang w:val="it-IT"/>
        </w:rPr>
      </w:pPr>
    </w:p>
    <w:p w14:paraId="01B45A07" w14:textId="77777777" w:rsidR="00652910" w:rsidRPr="00B93FDB" w:rsidRDefault="00652910" w:rsidP="00C935D1">
      <w:pPr>
        <w:ind w:right="1693"/>
        <w:jc w:val="both"/>
        <w:rPr>
          <w:rFonts w:cs="Arial"/>
          <w:iCs/>
          <w:szCs w:val="20"/>
          <w:lang w:val="it-IT"/>
        </w:rPr>
      </w:pPr>
    </w:p>
    <w:p w14:paraId="16D1D10A" w14:textId="77777777" w:rsidR="0079248A" w:rsidRPr="00B93FDB" w:rsidRDefault="0079248A" w:rsidP="00C935D1">
      <w:pPr>
        <w:ind w:right="1693"/>
        <w:jc w:val="both"/>
        <w:rPr>
          <w:rFonts w:cs="Arial"/>
          <w:iCs/>
          <w:szCs w:val="20"/>
          <w:lang w:val="it-IT"/>
        </w:rPr>
      </w:pPr>
    </w:p>
    <w:p w14:paraId="4CC718FB" w14:textId="77777777" w:rsidR="0079248A" w:rsidRPr="00B93FDB" w:rsidRDefault="0079248A" w:rsidP="00C935D1">
      <w:pPr>
        <w:ind w:right="1693"/>
        <w:jc w:val="both"/>
        <w:rPr>
          <w:rFonts w:cs="Arial"/>
          <w:iCs/>
          <w:szCs w:val="20"/>
          <w:lang w:val="it-IT"/>
        </w:rPr>
      </w:pPr>
    </w:p>
    <w:p w14:paraId="4D75F26E" w14:textId="77777777" w:rsidR="0024402A" w:rsidRPr="00B93FDB" w:rsidRDefault="0024402A" w:rsidP="00C935D1">
      <w:pPr>
        <w:ind w:right="1693"/>
        <w:jc w:val="both"/>
        <w:rPr>
          <w:rFonts w:cs="Arial"/>
          <w:iCs/>
          <w:szCs w:val="20"/>
          <w:lang w:val="it-IT"/>
        </w:rPr>
      </w:pPr>
    </w:p>
    <w:p w14:paraId="4776554A" w14:textId="28E336C5" w:rsidR="00EE7F4A" w:rsidRPr="00B93FDB" w:rsidRDefault="00652910" w:rsidP="0073483D">
      <w:pPr>
        <w:pStyle w:val="StandardWeb"/>
        <w:shd w:val="clear" w:color="auto" w:fill="FFFFFF"/>
        <w:spacing w:before="0" w:beforeAutospacing="0" w:after="0" w:afterAutospacing="0" w:line="360" w:lineRule="auto"/>
        <w:ind w:right="1837"/>
        <w:rPr>
          <w:rFonts w:ascii="Arial" w:hAnsi="Arial" w:cs="Arial"/>
          <w:b/>
          <w:sz w:val="20"/>
          <w:szCs w:val="20"/>
          <w:lang w:val="it-IT"/>
        </w:rPr>
      </w:pPr>
      <w:hyperlink r:id="rId9" w:history="1">
        <w:r w:rsidR="00B93FE8" w:rsidRPr="00B93FDB">
          <w:rPr>
            <w:rStyle w:val="Hyperlink"/>
            <w:rFonts w:ascii="Arial" w:hAnsi="Arial" w:cs="Arial"/>
            <w:sz w:val="20"/>
            <w:szCs w:val="20"/>
            <w:lang w:val="it-IT"/>
          </w:rPr>
          <w:t>www.tgw-group.com</w:t>
        </w:r>
      </w:hyperlink>
      <w:r w:rsidR="00B93FE8" w:rsidRPr="00B93FDB">
        <w:rPr>
          <w:rFonts w:ascii="Arial" w:hAnsi="Arial" w:cs="Arial"/>
          <w:sz w:val="20"/>
          <w:szCs w:val="20"/>
          <w:lang w:val="it-IT"/>
        </w:rPr>
        <w:br/>
      </w:r>
    </w:p>
    <w:p w14:paraId="21B2D52C" w14:textId="1064C5E1" w:rsidR="000F039C" w:rsidRPr="00B93FDB"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it-IT"/>
        </w:rPr>
      </w:pPr>
      <w:r w:rsidRPr="00B93FDB">
        <w:rPr>
          <w:rFonts w:ascii="Arial" w:hAnsi="Arial" w:cs="Arial"/>
          <w:b/>
          <w:sz w:val="20"/>
          <w:szCs w:val="20"/>
          <w:lang w:val="it-IT"/>
        </w:rPr>
        <w:lastRenderedPageBreak/>
        <w:t>Informazioni su TGW Logistics:</w:t>
      </w:r>
    </w:p>
    <w:p w14:paraId="64A8B1EE" w14:textId="759897BB" w:rsidR="000F039C" w:rsidRPr="00B93FDB" w:rsidRDefault="000F039C" w:rsidP="000F039C">
      <w:pPr>
        <w:spacing w:line="240" w:lineRule="auto"/>
        <w:ind w:right="1837"/>
        <w:rPr>
          <w:rFonts w:cs="Arial"/>
          <w:szCs w:val="20"/>
          <w:lang w:val="it-IT"/>
        </w:rPr>
      </w:pPr>
      <w:r w:rsidRPr="00B93FDB">
        <w:rPr>
          <w:rFonts w:cs="Arial"/>
          <w:szCs w:val="20"/>
          <w:lang w:val="it-IT"/>
        </w:rPr>
        <w:t>TGW Logistics è un'azienda fornitrice di soluzioni per l'</w:t>
      </w:r>
      <w:proofErr w:type="spellStart"/>
      <w:r w:rsidRPr="00B93FDB">
        <w:rPr>
          <w:rFonts w:cs="Arial"/>
          <w:szCs w:val="20"/>
          <w:lang w:val="it-IT"/>
        </w:rPr>
        <w:t>intralogistica</w:t>
      </w:r>
      <w:proofErr w:type="spellEnd"/>
      <w:r w:rsidRPr="00B93FDB">
        <w:rPr>
          <w:rFonts w:cs="Arial"/>
          <w:szCs w:val="20"/>
          <w:lang w:val="it-IT"/>
        </w:rPr>
        <w:t xml:space="preserve"> di primaria importanza a livello internazionale. Da oltre 50 anni l'azienda austriaca specializzata in impianti ad alta automazione realizza soluzioni per la propria clientela internazionale, dalla A come Adidas alla Z come Zalando. In qualità di integratore di sistema, TGW si occupa della progettazione, produzione, realizzazione e servizio di complessi centri di logistica, dalla meccatronica alla robotica fino al sistema di comando e al software. </w:t>
      </w:r>
    </w:p>
    <w:p w14:paraId="36BED319" w14:textId="77777777" w:rsidR="000F039C" w:rsidRPr="00B93FDB" w:rsidRDefault="000F039C" w:rsidP="000F039C">
      <w:pPr>
        <w:tabs>
          <w:tab w:val="left" w:pos="1697"/>
        </w:tabs>
        <w:spacing w:line="240" w:lineRule="auto"/>
        <w:ind w:right="1837"/>
        <w:rPr>
          <w:rFonts w:cs="Arial"/>
          <w:szCs w:val="20"/>
          <w:lang w:val="it-IT"/>
        </w:rPr>
      </w:pPr>
    </w:p>
    <w:p w14:paraId="51B5458A" w14:textId="483E12D1" w:rsidR="000F039C" w:rsidRPr="00B93FDB" w:rsidRDefault="000F039C" w:rsidP="000F039C">
      <w:pPr>
        <w:spacing w:line="240" w:lineRule="auto"/>
        <w:ind w:right="1837"/>
        <w:rPr>
          <w:rFonts w:cs="Arial"/>
          <w:szCs w:val="20"/>
          <w:lang w:val="it-IT"/>
        </w:rPr>
      </w:pPr>
      <w:r w:rsidRPr="00B93FDB">
        <w:rPr>
          <w:rFonts w:cs="Arial"/>
          <w:szCs w:val="20"/>
          <w:lang w:val="it-IT"/>
        </w:rPr>
        <w:t>TGW Logistics Group ha filiali in Europa, Cina e USA e può contare su oltre 4.400 collaboratori e collaboratrici in tutto il mondo. Nell'esercizio fiscale 2022/23 l'azienda ha ottenuto un fatturato complessivo di 955,8 milioni di euro.</w:t>
      </w:r>
    </w:p>
    <w:p w14:paraId="3239A8B5" w14:textId="77777777" w:rsidR="000F039C" w:rsidRPr="00B93FDB" w:rsidRDefault="000F039C" w:rsidP="000F039C">
      <w:pPr>
        <w:spacing w:line="240" w:lineRule="auto"/>
        <w:ind w:right="1837"/>
        <w:rPr>
          <w:rFonts w:cs="Arial"/>
          <w:szCs w:val="20"/>
          <w:lang w:val="it-IT"/>
        </w:rPr>
      </w:pPr>
    </w:p>
    <w:p w14:paraId="6909FEF8" w14:textId="77777777" w:rsidR="000F039C" w:rsidRPr="00B93FDB" w:rsidRDefault="000F039C" w:rsidP="000F039C">
      <w:pPr>
        <w:spacing w:line="240" w:lineRule="auto"/>
        <w:ind w:right="1837"/>
        <w:rPr>
          <w:rFonts w:cs="Arial"/>
          <w:szCs w:val="20"/>
          <w:lang w:val="it-IT"/>
        </w:rPr>
      </w:pPr>
    </w:p>
    <w:p w14:paraId="3F875A6B" w14:textId="77777777" w:rsidR="000F039C" w:rsidRPr="00B93FDB" w:rsidRDefault="000F039C" w:rsidP="000F039C">
      <w:pPr>
        <w:spacing w:line="240" w:lineRule="auto"/>
        <w:ind w:right="1837"/>
        <w:rPr>
          <w:rFonts w:cs="Arial"/>
          <w:szCs w:val="20"/>
          <w:lang w:val="it-IT"/>
        </w:rPr>
      </w:pPr>
    </w:p>
    <w:p w14:paraId="46A48B0B" w14:textId="77777777" w:rsidR="000F039C" w:rsidRPr="00B93FDB" w:rsidRDefault="000F039C" w:rsidP="000F039C">
      <w:pPr>
        <w:spacing w:line="240" w:lineRule="auto"/>
        <w:ind w:right="1837"/>
        <w:rPr>
          <w:rFonts w:cs="Arial"/>
          <w:szCs w:val="20"/>
          <w:lang w:val="it-IT"/>
        </w:rPr>
      </w:pPr>
    </w:p>
    <w:p w14:paraId="31770C79" w14:textId="77777777" w:rsidR="000F039C" w:rsidRPr="00B93FDB" w:rsidRDefault="000F039C" w:rsidP="000F039C">
      <w:pPr>
        <w:spacing w:line="240" w:lineRule="auto"/>
        <w:ind w:right="1837"/>
        <w:rPr>
          <w:rFonts w:cs="Arial"/>
          <w:b/>
          <w:szCs w:val="20"/>
          <w:lang w:val="it-IT"/>
        </w:rPr>
      </w:pPr>
      <w:r w:rsidRPr="00B93FDB">
        <w:rPr>
          <w:rFonts w:cs="Arial"/>
          <w:b/>
          <w:szCs w:val="20"/>
          <w:lang w:val="it-IT"/>
        </w:rPr>
        <w:t>Fotografie</w:t>
      </w:r>
    </w:p>
    <w:p w14:paraId="3F2651E1" w14:textId="49E917E5" w:rsidR="000F039C" w:rsidRPr="00B93FDB" w:rsidRDefault="000F039C" w:rsidP="000F039C">
      <w:pPr>
        <w:spacing w:line="240" w:lineRule="auto"/>
        <w:ind w:right="1837"/>
        <w:rPr>
          <w:rFonts w:cs="Arial"/>
          <w:szCs w:val="20"/>
          <w:lang w:val="it-IT"/>
        </w:rPr>
      </w:pPr>
      <w:r w:rsidRPr="00B93FDB">
        <w:rPr>
          <w:rFonts w:cs="Arial"/>
          <w:szCs w:val="20"/>
          <w:lang w:val="it-IT"/>
        </w:rPr>
        <w:t>È permessa la pubblicazione gratuita fornendo l'indicazione della fonte e per i comunicati stampa che hanno come oggetto principalmente TGW Logistics. La pubblicazione a scopi pubblicitari non è gratuita.</w:t>
      </w:r>
    </w:p>
    <w:p w14:paraId="3C1FE900" w14:textId="77777777" w:rsidR="000F039C" w:rsidRPr="00B93FDB" w:rsidRDefault="000F039C" w:rsidP="000F039C">
      <w:pPr>
        <w:spacing w:line="240" w:lineRule="auto"/>
        <w:ind w:right="1837"/>
        <w:rPr>
          <w:rFonts w:cs="Arial"/>
          <w:szCs w:val="20"/>
          <w:lang w:val="it-IT"/>
        </w:rPr>
      </w:pPr>
    </w:p>
    <w:p w14:paraId="2F3A6AAF" w14:textId="77777777" w:rsidR="000F039C" w:rsidRPr="00B93FDB" w:rsidRDefault="000F039C" w:rsidP="000F039C">
      <w:pPr>
        <w:spacing w:line="240" w:lineRule="auto"/>
        <w:ind w:right="1837"/>
        <w:rPr>
          <w:rFonts w:cs="Arial"/>
          <w:szCs w:val="20"/>
          <w:lang w:val="it-IT"/>
        </w:rPr>
      </w:pPr>
    </w:p>
    <w:p w14:paraId="6F1B9290" w14:textId="77777777" w:rsidR="000F039C" w:rsidRPr="00B93FDB" w:rsidRDefault="000F039C" w:rsidP="000F039C">
      <w:pPr>
        <w:spacing w:line="240" w:lineRule="auto"/>
        <w:ind w:right="1837"/>
        <w:rPr>
          <w:rFonts w:cs="Arial"/>
          <w:b/>
          <w:szCs w:val="20"/>
          <w:lang w:val="it-IT"/>
        </w:rPr>
      </w:pPr>
      <w:r w:rsidRPr="00B93FDB">
        <w:rPr>
          <w:rFonts w:cs="Arial"/>
          <w:b/>
          <w:szCs w:val="20"/>
          <w:lang w:val="it-IT"/>
        </w:rPr>
        <w:t>Contatti:</w:t>
      </w:r>
    </w:p>
    <w:p w14:paraId="0FD29A19" w14:textId="77777777" w:rsidR="000F039C" w:rsidRPr="00B93FDB" w:rsidRDefault="000F039C" w:rsidP="000F039C">
      <w:pPr>
        <w:spacing w:line="240" w:lineRule="auto"/>
        <w:ind w:right="1837"/>
        <w:rPr>
          <w:rFonts w:cs="Arial"/>
          <w:szCs w:val="20"/>
          <w:lang w:val="it-IT"/>
        </w:rPr>
      </w:pPr>
      <w:r w:rsidRPr="00B93FDB">
        <w:rPr>
          <w:rFonts w:cs="Arial"/>
          <w:szCs w:val="20"/>
          <w:lang w:val="it-IT"/>
        </w:rPr>
        <w:t>TGW Logistics Group GmbH</w:t>
      </w:r>
    </w:p>
    <w:p w14:paraId="1D6E6742" w14:textId="77777777" w:rsidR="000F039C" w:rsidRPr="00B93FDB" w:rsidRDefault="000F039C" w:rsidP="000F039C">
      <w:pPr>
        <w:spacing w:line="240" w:lineRule="auto"/>
        <w:ind w:right="1837"/>
        <w:rPr>
          <w:rFonts w:cs="Arial"/>
          <w:szCs w:val="20"/>
          <w:lang w:val="it-IT"/>
        </w:rPr>
      </w:pPr>
      <w:r w:rsidRPr="00B93FDB">
        <w:rPr>
          <w:rFonts w:eastAsiaTheme="minorEastAsia" w:cs="Arial"/>
          <w:noProof/>
          <w:szCs w:val="20"/>
          <w:lang w:val="it-IT"/>
        </w:rPr>
        <w:t>A-4614 Marchtrenk</w:t>
      </w:r>
      <w:r w:rsidRPr="00B93FDB">
        <w:rPr>
          <w:rFonts w:cs="Arial"/>
          <w:szCs w:val="20"/>
          <w:lang w:val="it-IT"/>
        </w:rPr>
        <w:t>, Ludwig Szinicz Straße 3</w:t>
      </w:r>
    </w:p>
    <w:p w14:paraId="2F7C0EF7" w14:textId="77777777" w:rsidR="000F039C" w:rsidRPr="00B93FDB" w:rsidRDefault="000F039C" w:rsidP="000F039C">
      <w:pPr>
        <w:spacing w:line="240" w:lineRule="auto"/>
        <w:ind w:right="1837"/>
        <w:rPr>
          <w:rFonts w:cs="Arial"/>
          <w:szCs w:val="20"/>
          <w:lang w:val="it-IT"/>
        </w:rPr>
      </w:pPr>
      <w:r w:rsidRPr="00B93FDB">
        <w:rPr>
          <w:rFonts w:cs="Arial"/>
          <w:szCs w:val="20"/>
          <w:lang w:val="it-IT"/>
        </w:rPr>
        <w:t>Tel: +</w:t>
      </w:r>
      <w:proofErr w:type="gramStart"/>
      <w:r w:rsidRPr="00B93FDB">
        <w:rPr>
          <w:rFonts w:cs="Arial"/>
          <w:szCs w:val="20"/>
          <w:lang w:val="it-IT"/>
        </w:rPr>
        <w:t>43.(</w:t>
      </w:r>
      <w:proofErr w:type="gramEnd"/>
      <w:r w:rsidRPr="00B93FDB">
        <w:rPr>
          <w:rFonts w:cs="Arial"/>
          <w:szCs w:val="20"/>
          <w:lang w:val="it-IT"/>
        </w:rPr>
        <w:t>0)50.486-0</w:t>
      </w:r>
    </w:p>
    <w:p w14:paraId="4556F837" w14:textId="77777777" w:rsidR="000F039C" w:rsidRPr="00B93FDB" w:rsidRDefault="000F039C" w:rsidP="000F039C">
      <w:pPr>
        <w:spacing w:line="240" w:lineRule="auto"/>
        <w:ind w:right="1837"/>
        <w:rPr>
          <w:rFonts w:cs="Arial"/>
          <w:szCs w:val="20"/>
          <w:lang w:val="it-IT"/>
        </w:rPr>
      </w:pPr>
      <w:r w:rsidRPr="00B93FDB">
        <w:rPr>
          <w:rFonts w:cs="Arial"/>
          <w:szCs w:val="20"/>
          <w:lang w:val="it-IT"/>
        </w:rPr>
        <w:t>Fax: +</w:t>
      </w:r>
      <w:proofErr w:type="gramStart"/>
      <w:r w:rsidRPr="00B93FDB">
        <w:rPr>
          <w:rFonts w:cs="Arial"/>
          <w:szCs w:val="20"/>
          <w:lang w:val="it-IT"/>
        </w:rPr>
        <w:t>43.(</w:t>
      </w:r>
      <w:proofErr w:type="gramEnd"/>
      <w:r w:rsidRPr="00B93FDB">
        <w:rPr>
          <w:rFonts w:cs="Arial"/>
          <w:szCs w:val="20"/>
          <w:lang w:val="it-IT"/>
        </w:rPr>
        <w:t>0)50.486-31</w:t>
      </w:r>
    </w:p>
    <w:p w14:paraId="347D31B2" w14:textId="77777777" w:rsidR="000F039C" w:rsidRPr="00B93FDB" w:rsidRDefault="000F039C" w:rsidP="000F039C">
      <w:pPr>
        <w:spacing w:line="240" w:lineRule="auto"/>
        <w:ind w:right="1837"/>
        <w:rPr>
          <w:rFonts w:cs="Arial"/>
          <w:szCs w:val="20"/>
          <w:lang w:val="it-IT"/>
        </w:rPr>
      </w:pPr>
      <w:r w:rsidRPr="00B93FDB">
        <w:rPr>
          <w:rFonts w:cs="Arial"/>
          <w:szCs w:val="20"/>
          <w:lang w:val="it-IT"/>
        </w:rPr>
        <w:t>E-mail: tgw@tgw-group.com</w:t>
      </w:r>
    </w:p>
    <w:p w14:paraId="41E839BA" w14:textId="77777777" w:rsidR="000F039C" w:rsidRPr="00B93FDB" w:rsidRDefault="000F039C" w:rsidP="000F039C">
      <w:pPr>
        <w:spacing w:line="240" w:lineRule="auto"/>
        <w:ind w:right="1837"/>
        <w:rPr>
          <w:rFonts w:cs="Arial"/>
          <w:szCs w:val="20"/>
          <w:lang w:val="it-IT"/>
        </w:rPr>
      </w:pPr>
    </w:p>
    <w:p w14:paraId="04FB7A07" w14:textId="77777777" w:rsidR="000F039C" w:rsidRPr="00B93FDB" w:rsidRDefault="000F039C" w:rsidP="000F039C">
      <w:pPr>
        <w:spacing w:line="240" w:lineRule="auto"/>
        <w:ind w:right="1837"/>
        <w:rPr>
          <w:rFonts w:cs="Arial"/>
          <w:szCs w:val="20"/>
          <w:lang w:val="it-IT"/>
        </w:rPr>
      </w:pPr>
    </w:p>
    <w:p w14:paraId="3E850FC5" w14:textId="77777777" w:rsidR="000F039C" w:rsidRPr="00B93FDB" w:rsidRDefault="000F039C" w:rsidP="000F039C">
      <w:pPr>
        <w:spacing w:line="240" w:lineRule="auto"/>
        <w:ind w:right="1837"/>
        <w:rPr>
          <w:rFonts w:cs="Arial"/>
          <w:szCs w:val="20"/>
          <w:lang w:val="it-IT"/>
        </w:rPr>
      </w:pPr>
    </w:p>
    <w:p w14:paraId="11BADF5F" w14:textId="77777777" w:rsidR="000F039C" w:rsidRPr="00B93FDB" w:rsidRDefault="000F039C" w:rsidP="000F039C">
      <w:pPr>
        <w:spacing w:line="240" w:lineRule="auto"/>
        <w:ind w:right="1837"/>
        <w:rPr>
          <w:rFonts w:cs="Arial"/>
          <w:szCs w:val="20"/>
          <w:lang w:val="it-IT"/>
        </w:rPr>
      </w:pPr>
    </w:p>
    <w:p w14:paraId="3808179E" w14:textId="7A01CD47" w:rsidR="00496FFC" w:rsidRPr="00B93FDB" w:rsidRDefault="000F039C" w:rsidP="000F039C">
      <w:pPr>
        <w:spacing w:line="240" w:lineRule="auto"/>
        <w:ind w:right="701"/>
        <w:rPr>
          <w:rFonts w:cs="Arial"/>
          <w:b/>
          <w:szCs w:val="20"/>
          <w:lang w:val="it-IT"/>
        </w:rPr>
      </w:pPr>
      <w:r w:rsidRPr="00B93FDB">
        <w:rPr>
          <w:rFonts w:cs="Arial"/>
          <w:b/>
          <w:szCs w:val="20"/>
          <w:lang w:val="it-IT"/>
        </w:rPr>
        <w:t>Contatto stampa:</w:t>
      </w:r>
    </w:p>
    <w:p w14:paraId="297ECAB6" w14:textId="77777777" w:rsidR="00496FFC" w:rsidRPr="00C43D18" w:rsidRDefault="00496FFC" w:rsidP="00496FFC">
      <w:pPr>
        <w:spacing w:line="240" w:lineRule="auto"/>
        <w:ind w:right="701"/>
        <w:rPr>
          <w:rFonts w:cs="Arial"/>
          <w:szCs w:val="20"/>
        </w:rPr>
      </w:pPr>
      <w:r>
        <w:rPr>
          <w:rFonts w:cs="Arial"/>
          <w:szCs w:val="20"/>
        </w:rPr>
        <w:t>Alexander Tahedl</w:t>
      </w:r>
    </w:p>
    <w:p w14:paraId="00337872" w14:textId="77777777" w:rsidR="00496FFC" w:rsidRPr="00C43D18" w:rsidRDefault="00496FFC" w:rsidP="00496FFC">
      <w:pPr>
        <w:spacing w:line="240" w:lineRule="auto"/>
        <w:ind w:right="701"/>
        <w:rPr>
          <w:rFonts w:cs="Arial"/>
          <w:szCs w:val="20"/>
          <w:lang w:val="fr-FR"/>
        </w:rPr>
      </w:pPr>
      <w:r>
        <w:rPr>
          <w:rFonts w:cs="Arial"/>
          <w:szCs w:val="20"/>
        </w:rPr>
        <w:t>Communications Specialist</w:t>
      </w:r>
    </w:p>
    <w:p w14:paraId="51A05619" w14:textId="77777777" w:rsidR="00496FFC" w:rsidRPr="00C43D18" w:rsidRDefault="00496FFC" w:rsidP="00496FFC">
      <w:pPr>
        <w:spacing w:line="240" w:lineRule="auto"/>
        <w:ind w:right="701"/>
        <w:rPr>
          <w:rFonts w:cs="Arial"/>
          <w:szCs w:val="20"/>
          <w:lang w:val="fr-FR"/>
        </w:rPr>
      </w:pPr>
      <w:r>
        <w:rPr>
          <w:rFonts w:cs="Arial"/>
          <w:szCs w:val="20"/>
        </w:rPr>
        <w:t>Tel: +43.(0)50.486-2267</w:t>
      </w:r>
    </w:p>
    <w:p w14:paraId="0F13EF21" w14:textId="77777777" w:rsidR="00496FFC" w:rsidRPr="00C43D18" w:rsidRDefault="00496FFC" w:rsidP="00D438E2">
      <w:pPr>
        <w:tabs>
          <w:tab w:val="right" w:pos="8789"/>
        </w:tabs>
        <w:spacing w:line="240" w:lineRule="auto"/>
        <w:ind w:right="701"/>
        <w:rPr>
          <w:rFonts w:cs="Arial"/>
          <w:szCs w:val="20"/>
          <w:lang w:val="fr-FR"/>
        </w:rPr>
      </w:pPr>
      <w:proofErr w:type="spellStart"/>
      <w:r>
        <w:rPr>
          <w:rFonts w:cs="Arial"/>
          <w:szCs w:val="20"/>
        </w:rPr>
        <w:t>Cell</w:t>
      </w:r>
      <w:proofErr w:type="spellEnd"/>
      <w:r>
        <w:rPr>
          <w:rFonts w:cs="Arial"/>
          <w:szCs w:val="20"/>
        </w:rPr>
        <w:t>.: +43.(0)664.88459713</w:t>
      </w:r>
      <w:r>
        <w:rPr>
          <w:rFonts w:cs="Arial"/>
          <w:szCs w:val="20"/>
        </w:rPr>
        <w:tab/>
      </w:r>
    </w:p>
    <w:p w14:paraId="0AC97206" w14:textId="77777777" w:rsidR="00496FFC" w:rsidRPr="00C43D18" w:rsidRDefault="00496FFC" w:rsidP="00496FFC">
      <w:pPr>
        <w:spacing w:line="240" w:lineRule="auto"/>
        <w:ind w:right="701"/>
        <w:rPr>
          <w:lang w:val="fr-FR"/>
        </w:rPr>
      </w:pPr>
      <w:r>
        <w:rPr>
          <w:rFonts w:cs="Arial"/>
          <w:szCs w:val="20"/>
        </w:rPr>
        <w:t>alexander.tahedl@tgw-group.com</w:t>
      </w:r>
    </w:p>
    <w:p w14:paraId="17F41690" w14:textId="77777777" w:rsidR="007E79A3" w:rsidRPr="00C43D18" w:rsidRDefault="007E79A3">
      <w:pPr>
        <w:spacing w:line="240" w:lineRule="auto"/>
        <w:ind w:right="701"/>
        <w:rPr>
          <w:rFonts w:cs="Arial"/>
          <w:szCs w:val="20"/>
          <w:lang w:val="fr-FR"/>
        </w:rPr>
      </w:pPr>
    </w:p>
    <w:sectPr w:rsidR="007E79A3" w:rsidRPr="00C43D18" w:rsidSect="00227EC1">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35F8" w14:textId="77777777" w:rsidR="00095D61" w:rsidRDefault="00095D61" w:rsidP="00764006">
      <w:pPr>
        <w:spacing w:line="240" w:lineRule="auto"/>
      </w:pPr>
      <w:r>
        <w:separator/>
      </w:r>
    </w:p>
  </w:endnote>
  <w:endnote w:type="continuationSeparator" w:id="0">
    <w:p w14:paraId="25DE1B78" w14:textId="77777777" w:rsidR="00095D61" w:rsidRDefault="00095D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5D961825" w14:textId="77777777" w:rsidTr="00C15D91">
      <w:tc>
        <w:tcPr>
          <w:tcW w:w="6474" w:type="dxa"/>
        </w:tcPr>
        <w:p w14:paraId="5B4BD3DE" w14:textId="129A4E18" w:rsidR="00A459AA" w:rsidRPr="00252CD7" w:rsidRDefault="00A459AA" w:rsidP="00252CD7">
          <w:pPr>
            <w:pStyle w:val="FuzeileAdresse"/>
            <w:jc w:val="left"/>
            <w:rPr>
              <w:sz w:val="16"/>
            </w:rPr>
          </w:pPr>
          <w:r>
            <w:rPr>
              <w:sz w:val="16"/>
            </w:rPr>
            <w:t>TGW Logistics</w:t>
          </w:r>
        </w:p>
      </w:tc>
      <w:tc>
        <w:tcPr>
          <w:tcW w:w="283" w:type="dxa"/>
          <w:tcBorders>
            <w:right w:val="single" w:sz="12" w:space="0" w:color="C00418" w:themeColor="accent1"/>
          </w:tcBorders>
        </w:tcPr>
        <w:p w14:paraId="070BC2F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42627A" w14:textId="77777777" w:rsidR="00A459AA" w:rsidRPr="00252CD7" w:rsidRDefault="00A459AA" w:rsidP="007D0E42">
          <w:pPr>
            <w:pStyle w:val="Fuzeile"/>
            <w:rPr>
              <w:sz w:val="16"/>
            </w:rPr>
          </w:pPr>
        </w:p>
      </w:tc>
      <w:tc>
        <w:tcPr>
          <w:tcW w:w="2438" w:type="dxa"/>
          <w:vAlign w:val="center"/>
        </w:tcPr>
        <w:p w14:paraId="32C8D4BD" w14:textId="07F2BA68"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Pr>
              <w:noProof/>
              <w:sz w:val="16"/>
            </w:rPr>
            <w:t>3</w:t>
          </w:r>
          <w:r>
            <w:fldChar w:fldCharType="end"/>
          </w:r>
          <w:r>
            <w:rPr>
              <w:sz w:val="16"/>
            </w:rPr>
            <w:t xml:space="preserve"> / 4</w:t>
          </w:r>
        </w:p>
      </w:tc>
    </w:tr>
  </w:tbl>
  <w:p w14:paraId="62293A33"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F374" w14:textId="77777777" w:rsidR="00095D61" w:rsidRDefault="00095D61" w:rsidP="00764006">
      <w:pPr>
        <w:spacing w:line="240" w:lineRule="auto"/>
      </w:pPr>
      <w:r>
        <w:separator/>
      </w:r>
    </w:p>
  </w:footnote>
  <w:footnote w:type="continuationSeparator" w:id="0">
    <w:p w14:paraId="4A5F3076" w14:textId="77777777" w:rsidR="00095D61" w:rsidRDefault="00095D6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6A5" w14:textId="77777777" w:rsidR="00A459AA" w:rsidRDefault="00A459AA" w:rsidP="00764006">
    <w:pPr>
      <w:pStyle w:val="Kopfzeile"/>
      <w:jc w:val="right"/>
    </w:pPr>
    <w:r>
      <w:br/>
    </w:r>
  </w:p>
  <w:p w14:paraId="39AC92F1" w14:textId="77777777" w:rsidR="00A459AA" w:rsidRPr="00C15D91" w:rsidRDefault="00A459AA" w:rsidP="00C00CC7">
    <w:pPr>
      <w:pStyle w:val="Dokumententitel"/>
    </w:pPr>
    <w:r>
      <w:drawing>
        <wp:anchor distT="0" distB="0" distL="114300" distR="114300" simplePos="0" relativeHeight="251658240" behindDoc="0" locked="0" layoutInCell="1" allowOverlap="1" wp14:anchorId="5B43FC46" wp14:editId="5A31EAE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E2E3160"/>
    <w:multiLevelType w:val="hybridMultilevel"/>
    <w:tmpl w:val="6396D2E4"/>
    <w:lvl w:ilvl="0" w:tplc="BB368FE2">
      <w:start w:val="1"/>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2577672">
    <w:abstractNumId w:val="15"/>
  </w:num>
  <w:num w:numId="2" w16cid:durableId="292752904">
    <w:abstractNumId w:val="15"/>
    <w:lvlOverride w:ilvl="0">
      <w:startOverride w:val="1"/>
    </w:lvlOverride>
  </w:num>
  <w:num w:numId="3" w16cid:durableId="1209604902">
    <w:abstractNumId w:val="13"/>
  </w:num>
  <w:num w:numId="4" w16cid:durableId="530263170">
    <w:abstractNumId w:val="23"/>
  </w:num>
  <w:num w:numId="5" w16cid:durableId="1972782514">
    <w:abstractNumId w:val="12"/>
  </w:num>
  <w:num w:numId="6" w16cid:durableId="1625501205">
    <w:abstractNumId w:val="3"/>
  </w:num>
  <w:num w:numId="7" w16cid:durableId="123812499">
    <w:abstractNumId w:val="14"/>
  </w:num>
  <w:num w:numId="8" w16cid:durableId="371613456">
    <w:abstractNumId w:val="11"/>
  </w:num>
  <w:num w:numId="9" w16cid:durableId="125201610">
    <w:abstractNumId w:val="20"/>
  </w:num>
  <w:num w:numId="10" w16cid:durableId="624627310">
    <w:abstractNumId w:val="1"/>
  </w:num>
  <w:num w:numId="11" w16cid:durableId="2040470879">
    <w:abstractNumId w:val="6"/>
  </w:num>
  <w:num w:numId="12" w16cid:durableId="54546618">
    <w:abstractNumId w:val="16"/>
  </w:num>
  <w:num w:numId="13" w16cid:durableId="215046935">
    <w:abstractNumId w:val="18"/>
  </w:num>
  <w:num w:numId="14" w16cid:durableId="284432693">
    <w:abstractNumId w:val="22"/>
  </w:num>
  <w:num w:numId="15" w16cid:durableId="1317420374">
    <w:abstractNumId w:val="24"/>
  </w:num>
  <w:num w:numId="16" w16cid:durableId="896093334">
    <w:abstractNumId w:val="4"/>
  </w:num>
  <w:num w:numId="17" w16cid:durableId="488904285">
    <w:abstractNumId w:val="21"/>
  </w:num>
  <w:num w:numId="18" w16cid:durableId="959724270">
    <w:abstractNumId w:val="5"/>
  </w:num>
  <w:num w:numId="19" w16cid:durableId="2129003771">
    <w:abstractNumId w:val="7"/>
  </w:num>
  <w:num w:numId="20" w16cid:durableId="217741056">
    <w:abstractNumId w:val="10"/>
  </w:num>
  <w:num w:numId="21" w16cid:durableId="1583837413">
    <w:abstractNumId w:val="0"/>
  </w:num>
  <w:num w:numId="22" w16cid:durableId="1439838698">
    <w:abstractNumId w:val="8"/>
  </w:num>
  <w:num w:numId="23" w16cid:durableId="983433921">
    <w:abstractNumId w:val="19"/>
  </w:num>
  <w:num w:numId="24" w16cid:durableId="1931814402">
    <w:abstractNumId w:val="19"/>
  </w:num>
  <w:num w:numId="25" w16cid:durableId="32772362">
    <w:abstractNumId w:val="2"/>
  </w:num>
  <w:num w:numId="26" w16cid:durableId="23021570">
    <w:abstractNumId w:val="17"/>
  </w:num>
  <w:num w:numId="27" w16cid:durableId="82197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07E42"/>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58A0"/>
    <w:rsid w:val="0002638B"/>
    <w:rsid w:val="0002663A"/>
    <w:rsid w:val="000268D4"/>
    <w:rsid w:val="00026B06"/>
    <w:rsid w:val="00030195"/>
    <w:rsid w:val="000307EE"/>
    <w:rsid w:val="00031F76"/>
    <w:rsid w:val="000338CC"/>
    <w:rsid w:val="00033AD1"/>
    <w:rsid w:val="00034052"/>
    <w:rsid w:val="0003447B"/>
    <w:rsid w:val="00034ADC"/>
    <w:rsid w:val="00035F5C"/>
    <w:rsid w:val="00036D20"/>
    <w:rsid w:val="00041846"/>
    <w:rsid w:val="000419CF"/>
    <w:rsid w:val="00043EE7"/>
    <w:rsid w:val="00043FE7"/>
    <w:rsid w:val="00044B78"/>
    <w:rsid w:val="00044F5F"/>
    <w:rsid w:val="00045425"/>
    <w:rsid w:val="00045876"/>
    <w:rsid w:val="00046CA1"/>
    <w:rsid w:val="0004731B"/>
    <w:rsid w:val="00051F6B"/>
    <w:rsid w:val="0005524C"/>
    <w:rsid w:val="00055779"/>
    <w:rsid w:val="00056E31"/>
    <w:rsid w:val="00057AC7"/>
    <w:rsid w:val="00057EC7"/>
    <w:rsid w:val="000603BE"/>
    <w:rsid w:val="00060602"/>
    <w:rsid w:val="00060655"/>
    <w:rsid w:val="00064971"/>
    <w:rsid w:val="000651D7"/>
    <w:rsid w:val="00065714"/>
    <w:rsid w:val="0006571A"/>
    <w:rsid w:val="00065AB0"/>
    <w:rsid w:val="00065CD8"/>
    <w:rsid w:val="0006709E"/>
    <w:rsid w:val="000672B8"/>
    <w:rsid w:val="000678C1"/>
    <w:rsid w:val="00070000"/>
    <w:rsid w:val="00070046"/>
    <w:rsid w:val="00070063"/>
    <w:rsid w:val="00070362"/>
    <w:rsid w:val="000708A4"/>
    <w:rsid w:val="00070EA7"/>
    <w:rsid w:val="00070F06"/>
    <w:rsid w:val="000712F0"/>
    <w:rsid w:val="00071B92"/>
    <w:rsid w:val="00071BC4"/>
    <w:rsid w:val="000740E1"/>
    <w:rsid w:val="00076989"/>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0A4"/>
    <w:rsid w:val="00095CBA"/>
    <w:rsid w:val="00095D61"/>
    <w:rsid w:val="00096709"/>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A7EA2"/>
    <w:rsid w:val="000B3A42"/>
    <w:rsid w:val="000B3BB3"/>
    <w:rsid w:val="000B4EF7"/>
    <w:rsid w:val="000B58AB"/>
    <w:rsid w:val="000B6520"/>
    <w:rsid w:val="000B6599"/>
    <w:rsid w:val="000B6706"/>
    <w:rsid w:val="000B6892"/>
    <w:rsid w:val="000B697D"/>
    <w:rsid w:val="000B69F3"/>
    <w:rsid w:val="000B6D90"/>
    <w:rsid w:val="000B72D6"/>
    <w:rsid w:val="000B7F5B"/>
    <w:rsid w:val="000C043F"/>
    <w:rsid w:val="000C1059"/>
    <w:rsid w:val="000C1A72"/>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331E"/>
    <w:rsid w:val="000E4C19"/>
    <w:rsid w:val="000E5B4A"/>
    <w:rsid w:val="000E6579"/>
    <w:rsid w:val="000E721B"/>
    <w:rsid w:val="000E742E"/>
    <w:rsid w:val="000E749E"/>
    <w:rsid w:val="000E779D"/>
    <w:rsid w:val="000F039C"/>
    <w:rsid w:val="000F2136"/>
    <w:rsid w:val="000F296E"/>
    <w:rsid w:val="000F4011"/>
    <w:rsid w:val="000F48C7"/>
    <w:rsid w:val="000F4E26"/>
    <w:rsid w:val="000F5020"/>
    <w:rsid w:val="000F6568"/>
    <w:rsid w:val="000F6786"/>
    <w:rsid w:val="000F748A"/>
    <w:rsid w:val="000F7D85"/>
    <w:rsid w:val="00100CDF"/>
    <w:rsid w:val="00100FED"/>
    <w:rsid w:val="00102B91"/>
    <w:rsid w:val="00102B94"/>
    <w:rsid w:val="00102C0C"/>
    <w:rsid w:val="00102F3E"/>
    <w:rsid w:val="00104EE7"/>
    <w:rsid w:val="00106124"/>
    <w:rsid w:val="00106470"/>
    <w:rsid w:val="00107C26"/>
    <w:rsid w:val="001109BF"/>
    <w:rsid w:val="00110A0B"/>
    <w:rsid w:val="001126B1"/>
    <w:rsid w:val="00112AB8"/>
    <w:rsid w:val="00113562"/>
    <w:rsid w:val="00114C33"/>
    <w:rsid w:val="0011567C"/>
    <w:rsid w:val="00117307"/>
    <w:rsid w:val="00117D1D"/>
    <w:rsid w:val="00120347"/>
    <w:rsid w:val="00122BB2"/>
    <w:rsid w:val="001252B2"/>
    <w:rsid w:val="00125A5B"/>
    <w:rsid w:val="00125D42"/>
    <w:rsid w:val="00127A8C"/>
    <w:rsid w:val="0013094C"/>
    <w:rsid w:val="00132861"/>
    <w:rsid w:val="001336A2"/>
    <w:rsid w:val="001353BC"/>
    <w:rsid w:val="001354C6"/>
    <w:rsid w:val="00136EEB"/>
    <w:rsid w:val="00140886"/>
    <w:rsid w:val="00140AAD"/>
    <w:rsid w:val="001411C5"/>
    <w:rsid w:val="00141B16"/>
    <w:rsid w:val="00141B5D"/>
    <w:rsid w:val="00141C5F"/>
    <w:rsid w:val="00141F13"/>
    <w:rsid w:val="00142118"/>
    <w:rsid w:val="001424C6"/>
    <w:rsid w:val="00142D57"/>
    <w:rsid w:val="001436B8"/>
    <w:rsid w:val="00143849"/>
    <w:rsid w:val="00143EB1"/>
    <w:rsid w:val="00145EB3"/>
    <w:rsid w:val="0014729D"/>
    <w:rsid w:val="00150056"/>
    <w:rsid w:val="00151856"/>
    <w:rsid w:val="00151881"/>
    <w:rsid w:val="001522B5"/>
    <w:rsid w:val="001522FC"/>
    <w:rsid w:val="001529FF"/>
    <w:rsid w:val="00152B5E"/>
    <w:rsid w:val="00152DD7"/>
    <w:rsid w:val="00153150"/>
    <w:rsid w:val="001532A0"/>
    <w:rsid w:val="001556F4"/>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779"/>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284"/>
    <w:rsid w:val="001876B4"/>
    <w:rsid w:val="00187867"/>
    <w:rsid w:val="001915D8"/>
    <w:rsid w:val="00193A75"/>
    <w:rsid w:val="00193DF6"/>
    <w:rsid w:val="00195B5A"/>
    <w:rsid w:val="00195D23"/>
    <w:rsid w:val="00196119"/>
    <w:rsid w:val="0019765F"/>
    <w:rsid w:val="001A0355"/>
    <w:rsid w:val="001A0755"/>
    <w:rsid w:val="001A08BF"/>
    <w:rsid w:val="001A0EED"/>
    <w:rsid w:val="001A143C"/>
    <w:rsid w:val="001A2A7D"/>
    <w:rsid w:val="001A36B2"/>
    <w:rsid w:val="001A3CC9"/>
    <w:rsid w:val="001A4177"/>
    <w:rsid w:val="001A5449"/>
    <w:rsid w:val="001A639D"/>
    <w:rsid w:val="001A719B"/>
    <w:rsid w:val="001B0377"/>
    <w:rsid w:val="001B104C"/>
    <w:rsid w:val="001B1C61"/>
    <w:rsid w:val="001B2104"/>
    <w:rsid w:val="001B2714"/>
    <w:rsid w:val="001B32D8"/>
    <w:rsid w:val="001B331B"/>
    <w:rsid w:val="001B3B4C"/>
    <w:rsid w:val="001B47BC"/>
    <w:rsid w:val="001B4CDC"/>
    <w:rsid w:val="001B5466"/>
    <w:rsid w:val="001B6421"/>
    <w:rsid w:val="001B745B"/>
    <w:rsid w:val="001B7711"/>
    <w:rsid w:val="001B7B16"/>
    <w:rsid w:val="001C0661"/>
    <w:rsid w:val="001C1504"/>
    <w:rsid w:val="001C1F1C"/>
    <w:rsid w:val="001C203E"/>
    <w:rsid w:val="001C2AEC"/>
    <w:rsid w:val="001C33E5"/>
    <w:rsid w:val="001C4484"/>
    <w:rsid w:val="001C5196"/>
    <w:rsid w:val="001C5EC6"/>
    <w:rsid w:val="001C6FC4"/>
    <w:rsid w:val="001C75F5"/>
    <w:rsid w:val="001C7C14"/>
    <w:rsid w:val="001D1972"/>
    <w:rsid w:val="001D1A27"/>
    <w:rsid w:val="001D22C8"/>
    <w:rsid w:val="001D2879"/>
    <w:rsid w:val="001D2A06"/>
    <w:rsid w:val="001D3779"/>
    <w:rsid w:val="001D38DF"/>
    <w:rsid w:val="001D3A32"/>
    <w:rsid w:val="001D3B2A"/>
    <w:rsid w:val="001D3BE6"/>
    <w:rsid w:val="001D3C10"/>
    <w:rsid w:val="001D576D"/>
    <w:rsid w:val="001D6483"/>
    <w:rsid w:val="001D6C93"/>
    <w:rsid w:val="001D6FB0"/>
    <w:rsid w:val="001D7147"/>
    <w:rsid w:val="001E064D"/>
    <w:rsid w:val="001E0BC7"/>
    <w:rsid w:val="001E12D3"/>
    <w:rsid w:val="001E28F6"/>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01B5"/>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260"/>
    <w:rsid w:val="00214B64"/>
    <w:rsid w:val="00214E93"/>
    <w:rsid w:val="00216276"/>
    <w:rsid w:val="0021629F"/>
    <w:rsid w:val="00216529"/>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3AB4"/>
    <w:rsid w:val="00234456"/>
    <w:rsid w:val="002364D2"/>
    <w:rsid w:val="00236C00"/>
    <w:rsid w:val="00237FAD"/>
    <w:rsid w:val="00240F29"/>
    <w:rsid w:val="00240FD6"/>
    <w:rsid w:val="00241300"/>
    <w:rsid w:val="0024166E"/>
    <w:rsid w:val="00241EA6"/>
    <w:rsid w:val="00241F08"/>
    <w:rsid w:val="00242C47"/>
    <w:rsid w:val="0024402A"/>
    <w:rsid w:val="00244775"/>
    <w:rsid w:val="00244E44"/>
    <w:rsid w:val="0024517B"/>
    <w:rsid w:val="0024604A"/>
    <w:rsid w:val="0024667B"/>
    <w:rsid w:val="002466C0"/>
    <w:rsid w:val="00246CB6"/>
    <w:rsid w:val="00246D41"/>
    <w:rsid w:val="002470F9"/>
    <w:rsid w:val="00250EA6"/>
    <w:rsid w:val="00252CD7"/>
    <w:rsid w:val="00253096"/>
    <w:rsid w:val="00253389"/>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5FD"/>
    <w:rsid w:val="00270A54"/>
    <w:rsid w:val="00270C76"/>
    <w:rsid w:val="00271172"/>
    <w:rsid w:val="0027315D"/>
    <w:rsid w:val="00273635"/>
    <w:rsid w:val="002737E4"/>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869"/>
    <w:rsid w:val="002949A8"/>
    <w:rsid w:val="00294E36"/>
    <w:rsid w:val="002956C9"/>
    <w:rsid w:val="00296155"/>
    <w:rsid w:val="002976D7"/>
    <w:rsid w:val="00297C45"/>
    <w:rsid w:val="002A15F4"/>
    <w:rsid w:val="002A1F38"/>
    <w:rsid w:val="002A24A9"/>
    <w:rsid w:val="002A24DB"/>
    <w:rsid w:val="002A3449"/>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575"/>
    <w:rsid w:val="002B4848"/>
    <w:rsid w:val="002B52CA"/>
    <w:rsid w:val="002B56A8"/>
    <w:rsid w:val="002B5BFA"/>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1F41"/>
    <w:rsid w:val="002D30FC"/>
    <w:rsid w:val="002D3F73"/>
    <w:rsid w:val="002D4595"/>
    <w:rsid w:val="002D48DC"/>
    <w:rsid w:val="002D5963"/>
    <w:rsid w:val="002D5CA1"/>
    <w:rsid w:val="002D63EE"/>
    <w:rsid w:val="002D64D5"/>
    <w:rsid w:val="002D69B8"/>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531A"/>
    <w:rsid w:val="003159F7"/>
    <w:rsid w:val="003168AE"/>
    <w:rsid w:val="00316CC3"/>
    <w:rsid w:val="00316CD2"/>
    <w:rsid w:val="00317848"/>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24"/>
    <w:rsid w:val="00332A95"/>
    <w:rsid w:val="00332C6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C06"/>
    <w:rsid w:val="00341ED1"/>
    <w:rsid w:val="00342219"/>
    <w:rsid w:val="003423C6"/>
    <w:rsid w:val="003424FB"/>
    <w:rsid w:val="00343117"/>
    <w:rsid w:val="003435C4"/>
    <w:rsid w:val="003438D4"/>
    <w:rsid w:val="003439CE"/>
    <w:rsid w:val="00343E7A"/>
    <w:rsid w:val="003451F3"/>
    <w:rsid w:val="00346126"/>
    <w:rsid w:val="003465D3"/>
    <w:rsid w:val="0034681F"/>
    <w:rsid w:val="00346CF9"/>
    <w:rsid w:val="003471A2"/>
    <w:rsid w:val="00347892"/>
    <w:rsid w:val="00350A9E"/>
    <w:rsid w:val="00351D09"/>
    <w:rsid w:val="00353F9E"/>
    <w:rsid w:val="003540AE"/>
    <w:rsid w:val="00355190"/>
    <w:rsid w:val="00356C67"/>
    <w:rsid w:val="003572A1"/>
    <w:rsid w:val="00361063"/>
    <w:rsid w:val="00361341"/>
    <w:rsid w:val="00361B30"/>
    <w:rsid w:val="003637B7"/>
    <w:rsid w:val="00363E6F"/>
    <w:rsid w:val="00363FC4"/>
    <w:rsid w:val="003642F9"/>
    <w:rsid w:val="003645BE"/>
    <w:rsid w:val="0036512F"/>
    <w:rsid w:val="00365AA0"/>
    <w:rsid w:val="00370662"/>
    <w:rsid w:val="0037274A"/>
    <w:rsid w:val="00372D81"/>
    <w:rsid w:val="00373A5C"/>
    <w:rsid w:val="00374096"/>
    <w:rsid w:val="00374913"/>
    <w:rsid w:val="00374BBD"/>
    <w:rsid w:val="0037522E"/>
    <w:rsid w:val="003756FD"/>
    <w:rsid w:val="00375AF2"/>
    <w:rsid w:val="003765DE"/>
    <w:rsid w:val="003803D4"/>
    <w:rsid w:val="0038122E"/>
    <w:rsid w:val="0038192A"/>
    <w:rsid w:val="003820A5"/>
    <w:rsid w:val="003829C7"/>
    <w:rsid w:val="00382D6B"/>
    <w:rsid w:val="003840BC"/>
    <w:rsid w:val="00387427"/>
    <w:rsid w:val="0038749B"/>
    <w:rsid w:val="003877BB"/>
    <w:rsid w:val="00390088"/>
    <w:rsid w:val="00391085"/>
    <w:rsid w:val="00391144"/>
    <w:rsid w:val="003911A2"/>
    <w:rsid w:val="0039232F"/>
    <w:rsid w:val="00392D0E"/>
    <w:rsid w:val="00392F49"/>
    <w:rsid w:val="00393F32"/>
    <w:rsid w:val="00394110"/>
    <w:rsid w:val="00395A38"/>
    <w:rsid w:val="00395A5B"/>
    <w:rsid w:val="003A0407"/>
    <w:rsid w:val="003A0544"/>
    <w:rsid w:val="003A1816"/>
    <w:rsid w:val="003A2448"/>
    <w:rsid w:val="003A28BB"/>
    <w:rsid w:val="003A2AEC"/>
    <w:rsid w:val="003A6EC7"/>
    <w:rsid w:val="003A717A"/>
    <w:rsid w:val="003B0C41"/>
    <w:rsid w:val="003B0F36"/>
    <w:rsid w:val="003B2CE7"/>
    <w:rsid w:val="003B6191"/>
    <w:rsid w:val="003B6403"/>
    <w:rsid w:val="003B67C9"/>
    <w:rsid w:val="003B7A21"/>
    <w:rsid w:val="003C06F4"/>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0A19"/>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8B8"/>
    <w:rsid w:val="00401F9F"/>
    <w:rsid w:val="00402B99"/>
    <w:rsid w:val="004033A0"/>
    <w:rsid w:val="00403ABC"/>
    <w:rsid w:val="00404BB0"/>
    <w:rsid w:val="00404C6F"/>
    <w:rsid w:val="00404F8A"/>
    <w:rsid w:val="004052D6"/>
    <w:rsid w:val="00405383"/>
    <w:rsid w:val="004057A5"/>
    <w:rsid w:val="00407F1B"/>
    <w:rsid w:val="00410B68"/>
    <w:rsid w:val="00412CB8"/>
    <w:rsid w:val="00413505"/>
    <w:rsid w:val="004150B4"/>
    <w:rsid w:val="00415BE0"/>
    <w:rsid w:val="0041692F"/>
    <w:rsid w:val="004173D2"/>
    <w:rsid w:val="00417A01"/>
    <w:rsid w:val="00420460"/>
    <w:rsid w:val="00421702"/>
    <w:rsid w:val="00421B3C"/>
    <w:rsid w:val="00421FF9"/>
    <w:rsid w:val="00422484"/>
    <w:rsid w:val="00422A59"/>
    <w:rsid w:val="0042369F"/>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3B"/>
    <w:rsid w:val="00434865"/>
    <w:rsid w:val="00435999"/>
    <w:rsid w:val="00435B98"/>
    <w:rsid w:val="00436E0D"/>
    <w:rsid w:val="00436F24"/>
    <w:rsid w:val="004371ED"/>
    <w:rsid w:val="00440284"/>
    <w:rsid w:val="00441043"/>
    <w:rsid w:val="0044195E"/>
    <w:rsid w:val="0044232B"/>
    <w:rsid w:val="00442A8D"/>
    <w:rsid w:val="004434CB"/>
    <w:rsid w:val="00443F10"/>
    <w:rsid w:val="0044421B"/>
    <w:rsid w:val="00444A4A"/>
    <w:rsid w:val="00444BA0"/>
    <w:rsid w:val="004463DD"/>
    <w:rsid w:val="00446487"/>
    <w:rsid w:val="004472A0"/>
    <w:rsid w:val="00447722"/>
    <w:rsid w:val="00447A66"/>
    <w:rsid w:val="00450B34"/>
    <w:rsid w:val="00450F6F"/>
    <w:rsid w:val="004512F8"/>
    <w:rsid w:val="0045285F"/>
    <w:rsid w:val="00452E7C"/>
    <w:rsid w:val="00452F19"/>
    <w:rsid w:val="00453714"/>
    <w:rsid w:val="00454EE9"/>
    <w:rsid w:val="004551A0"/>
    <w:rsid w:val="00455C3D"/>
    <w:rsid w:val="00455D0F"/>
    <w:rsid w:val="00457193"/>
    <w:rsid w:val="00460E31"/>
    <w:rsid w:val="00463578"/>
    <w:rsid w:val="00463C60"/>
    <w:rsid w:val="004642BC"/>
    <w:rsid w:val="004646A3"/>
    <w:rsid w:val="00465E2E"/>
    <w:rsid w:val="00467285"/>
    <w:rsid w:val="00467299"/>
    <w:rsid w:val="00467661"/>
    <w:rsid w:val="004677AF"/>
    <w:rsid w:val="00467BB2"/>
    <w:rsid w:val="00470712"/>
    <w:rsid w:val="00470B0F"/>
    <w:rsid w:val="00472E03"/>
    <w:rsid w:val="00474EF3"/>
    <w:rsid w:val="00475797"/>
    <w:rsid w:val="004763DD"/>
    <w:rsid w:val="00476A0C"/>
    <w:rsid w:val="00480054"/>
    <w:rsid w:val="00480784"/>
    <w:rsid w:val="00480B26"/>
    <w:rsid w:val="004811AB"/>
    <w:rsid w:val="004818EE"/>
    <w:rsid w:val="004825B7"/>
    <w:rsid w:val="00482F88"/>
    <w:rsid w:val="00483348"/>
    <w:rsid w:val="004835A9"/>
    <w:rsid w:val="00484E73"/>
    <w:rsid w:val="00485326"/>
    <w:rsid w:val="00485975"/>
    <w:rsid w:val="00485D3E"/>
    <w:rsid w:val="00487007"/>
    <w:rsid w:val="00487647"/>
    <w:rsid w:val="00490E25"/>
    <w:rsid w:val="00491213"/>
    <w:rsid w:val="00492AA5"/>
    <w:rsid w:val="00494615"/>
    <w:rsid w:val="00494CBC"/>
    <w:rsid w:val="00494F3A"/>
    <w:rsid w:val="00496FFC"/>
    <w:rsid w:val="004A2646"/>
    <w:rsid w:val="004A36E5"/>
    <w:rsid w:val="004A4623"/>
    <w:rsid w:val="004A48A6"/>
    <w:rsid w:val="004A4B02"/>
    <w:rsid w:val="004A5DE3"/>
    <w:rsid w:val="004A67CE"/>
    <w:rsid w:val="004A6B41"/>
    <w:rsid w:val="004A78EA"/>
    <w:rsid w:val="004B0C1A"/>
    <w:rsid w:val="004B17D6"/>
    <w:rsid w:val="004B1A48"/>
    <w:rsid w:val="004B2028"/>
    <w:rsid w:val="004B2FAF"/>
    <w:rsid w:val="004B4837"/>
    <w:rsid w:val="004B5E6A"/>
    <w:rsid w:val="004B5F3C"/>
    <w:rsid w:val="004B5FD2"/>
    <w:rsid w:val="004B682D"/>
    <w:rsid w:val="004B68E9"/>
    <w:rsid w:val="004B69A7"/>
    <w:rsid w:val="004B6F96"/>
    <w:rsid w:val="004B6FA0"/>
    <w:rsid w:val="004C07B9"/>
    <w:rsid w:val="004C292D"/>
    <w:rsid w:val="004C2BB2"/>
    <w:rsid w:val="004C322F"/>
    <w:rsid w:val="004C436D"/>
    <w:rsid w:val="004C4506"/>
    <w:rsid w:val="004C4DCD"/>
    <w:rsid w:val="004C68D7"/>
    <w:rsid w:val="004C6BD2"/>
    <w:rsid w:val="004C6F63"/>
    <w:rsid w:val="004C775A"/>
    <w:rsid w:val="004D09EE"/>
    <w:rsid w:val="004D09FF"/>
    <w:rsid w:val="004D0ED8"/>
    <w:rsid w:val="004D1583"/>
    <w:rsid w:val="004D2DBA"/>
    <w:rsid w:val="004D52DA"/>
    <w:rsid w:val="004D5EC4"/>
    <w:rsid w:val="004D6889"/>
    <w:rsid w:val="004D6C04"/>
    <w:rsid w:val="004D7755"/>
    <w:rsid w:val="004E1B2C"/>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4F6E98"/>
    <w:rsid w:val="00500690"/>
    <w:rsid w:val="00502B61"/>
    <w:rsid w:val="0050308A"/>
    <w:rsid w:val="0050417C"/>
    <w:rsid w:val="00505297"/>
    <w:rsid w:val="00505DCA"/>
    <w:rsid w:val="0050668B"/>
    <w:rsid w:val="005077AD"/>
    <w:rsid w:val="00507E97"/>
    <w:rsid w:val="00510087"/>
    <w:rsid w:val="0051021D"/>
    <w:rsid w:val="00510621"/>
    <w:rsid w:val="00510831"/>
    <w:rsid w:val="00511D9A"/>
    <w:rsid w:val="00512813"/>
    <w:rsid w:val="00514468"/>
    <w:rsid w:val="005153B5"/>
    <w:rsid w:val="00516416"/>
    <w:rsid w:val="005167A2"/>
    <w:rsid w:val="00516F92"/>
    <w:rsid w:val="005202F2"/>
    <w:rsid w:val="005203B2"/>
    <w:rsid w:val="005205D2"/>
    <w:rsid w:val="005219A3"/>
    <w:rsid w:val="00521D4D"/>
    <w:rsid w:val="00521DF4"/>
    <w:rsid w:val="005225DC"/>
    <w:rsid w:val="00522F2B"/>
    <w:rsid w:val="00523994"/>
    <w:rsid w:val="00523CCB"/>
    <w:rsid w:val="00523D03"/>
    <w:rsid w:val="0052421D"/>
    <w:rsid w:val="005246AA"/>
    <w:rsid w:val="00524E4F"/>
    <w:rsid w:val="0052724A"/>
    <w:rsid w:val="005278C0"/>
    <w:rsid w:val="005306DD"/>
    <w:rsid w:val="00530BF7"/>
    <w:rsid w:val="00530CDC"/>
    <w:rsid w:val="0053149B"/>
    <w:rsid w:val="00534318"/>
    <w:rsid w:val="00534891"/>
    <w:rsid w:val="00535915"/>
    <w:rsid w:val="00535AF3"/>
    <w:rsid w:val="00535C51"/>
    <w:rsid w:val="005361F2"/>
    <w:rsid w:val="005362D4"/>
    <w:rsid w:val="005363FF"/>
    <w:rsid w:val="00536DC1"/>
    <w:rsid w:val="00536E62"/>
    <w:rsid w:val="005372F0"/>
    <w:rsid w:val="00537E33"/>
    <w:rsid w:val="005415DC"/>
    <w:rsid w:val="00541BCD"/>
    <w:rsid w:val="00541EB6"/>
    <w:rsid w:val="00542E63"/>
    <w:rsid w:val="005431E5"/>
    <w:rsid w:val="00543648"/>
    <w:rsid w:val="00543B76"/>
    <w:rsid w:val="00543DAA"/>
    <w:rsid w:val="00545934"/>
    <w:rsid w:val="00545C0B"/>
    <w:rsid w:val="00545D58"/>
    <w:rsid w:val="005461CA"/>
    <w:rsid w:val="0054730D"/>
    <w:rsid w:val="00547388"/>
    <w:rsid w:val="005503ED"/>
    <w:rsid w:val="00551557"/>
    <w:rsid w:val="005524C7"/>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6706B"/>
    <w:rsid w:val="005711DC"/>
    <w:rsid w:val="00572BDA"/>
    <w:rsid w:val="005735A7"/>
    <w:rsid w:val="00573A73"/>
    <w:rsid w:val="00573F40"/>
    <w:rsid w:val="00574B91"/>
    <w:rsid w:val="00574E3C"/>
    <w:rsid w:val="00576B49"/>
    <w:rsid w:val="005773A9"/>
    <w:rsid w:val="00577E48"/>
    <w:rsid w:val="00580CF9"/>
    <w:rsid w:val="00581E94"/>
    <w:rsid w:val="005820BD"/>
    <w:rsid w:val="00582A47"/>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3DB"/>
    <w:rsid w:val="0059546F"/>
    <w:rsid w:val="00595F90"/>
    <w:rsid w:val="00597C48"/>
    <w:rsid w:val="005A0DCD"/>
    <w:rsid w:val="005A1CE4"/>
    <w:rsid w:val="005A3199"/>
    <w:rsid w:val="005A3DFB"/>
    <w:rsid w:val="005A4173"/>
    <w:rsid w:val="005A4597"/>
    <w:rsid w:val="005A47C9"/>
    <w:rsid w:val="005A4F18"/>
    <w:rsid w:val="005A642C"/>
    <w:rsid w:val="005A6B7D"/>
    <w:rsid w:val="005B1FBE"/>
    <w:rsid w:val="005B3AA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5EFB"/>
    <w:rsid w:val="005D625F"/>
    <w:rsid w:val="005D690E"/>
    <w:rsid w:val="005D6937"/>
    <w:rsid w:val="005D705D"/>
    <w:rsid w:val="005D75C8"/>
    <w:rsid w:val="005E1C72"/>
    <w:rsid w:val="005E24BB"/>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086A"/>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04FE"/>
    <w:rsid w:val="006211C0"/>
    <w:rsid w:val="006217E8"/>
    <w:rsid w:val="00621E6B"/>
    <w:rsid w:val="006221B6"/>
    <w:rsid w:val="006225BA"/>
    <w:rsid w:val="006226B7"/>
    <w:rsid w:val="00622F70"/>
    <w:rsid w:val="0062336E"/>
    <w:rsid w:val="00623F73"/>
    <w:rsid w:val="00630BA8"/>
    <w:rsid w:val="0063109B"/>
    <w:rsid w:val="0063123E"/>
    <w:rsid w:val="00631358"/>
    <w:rsid w:val="00632836"/>
    <w:rsid w:val="006328BC"/>
    <w:rsid w:val="006341BC"/>
    <w:rsid w:val="006349E7"/>
    <w:rsid w:val="00635544"/>
    <w:rsid w:val="00635E54"/>
    <w:rsid w:val="00635EB5"/>
    <w:rsid w:val="006363C6"/>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2910"/>
    <w:rsid w:val="006530FD"/>
    <w:rsid w:val="0065394D"/>
    <w:rsid w:val="00653E6D"/>
    <w:rsid w:val="00655116"/>
    <w:rsid w:val="00656680"/>
    <w:rsid w:val="00656DD3"/>
    <w:rsid w:val="00657776"/>
    <w:rsid w:val="00657A2F"/>
    <w:rsid w:val="006616E3"/>
    <w:rsid w:val="0066178D"/>
    <w:rsid w:val="00662462"/>
    <w:rsid w:val="006626D4"/>
    <w:rsid w:val="00662DED"/>
    <w:rsid w:val="00665477"/>
    <w:rsid w:val="006670D6"/>
    <w:rsid w:val="0066718E"/>
    <w:rsid w:val="00667CD6"/>
    <w:rsid w:val="00671061"/>
    <w:rsid w:val="00672A2C"/>
    <w:rsid w:val="00672EE9"/>
    <w:rsid w:val="00673484"/>
    <w:rsid w:val="00674342"/>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07C3"/>
    <w:rsid w:val="006C1B6F"/>
    <w:rsid w:val="006C2B4F"/>
    <w:rsid w:val="006C34BD"/>
    <w:rsid w:val="006C4124"/>
    <w:rsid w:val="006C4240"/>
    <w:rsid w:val="006C5881"/>
    <w:rsid w:val="006C5DC1"/>
    <w:rsid w:val="006C6EC7"/>
    <w:rsid w:val="006D05EA"/>
    <w:rsid w:val="006D1224"/>
    <w:rsid w:val="006D1593"/>
    <w:rsid w:val="006D1E41"/>
    <w:rsid w:val="006D1FA7"/>
    <w:rsid w:val="006D21A1"/>
    <w:rsid w:val="006D22A4"/>
    <w:rsid w:val="006D2A45"/>
    <w:rsid w:val="006D474B"/>
    <w:rsid w:val="006D4B9C"/>
    <w:rsid w:val="006D6D4A"/>
    <w:rsid w:val="006E023E"/>
    <w:rsid w:val="006E098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8C0"/>
    <w:rsid w:val="00706DB6"/>
    <w:rsid w:val="007076E0"/>
    <w:rsid w:val="00710463"/>
    <w:rsid w:val="00710DED"/>
    <w:rsid w:val="00711F65"/>
    <w:rsid w:val="0071250F"/>
    <w:rsid w:val="00713569"/>
    <w:rsid w:val="0071466A"/>
    <w:rsid w:val="007149B0"/>
    <w:rsid w:val="00716360"/>
    <w:rsid w:val="00716BE1"/>
    <w:rsid w:val="00716EF6"/>
    <w:rsid w:val="007176FB"/>
    <w:rsid w:val="00717771"/>
    <w:rsid w:val="0072197D"/>
    <w:rsid w:val="00721B5C"/>
    <w:rsid w:val="00722485"/>
    <w:rsid w:val="00725E83"/>
    <w:rsid w:val="007279BB"/>
    <w:rsid w:val="0073031B"/>
    <w:rsid w:val="00730A1B"/>
    <w:rsid w:val="00730A41"/>
    <w:rsid w:val="00731521"/>
    <w:rsid w:val="00734650"/>
    <w:rsid w:val="0073477C"/>
    <w:rsid w:val="0073483D"/>
    <w:rsid w:val="00735671"/>
    <w:rsid w:val="00736559"/>
    <w:rsid w:val="007366E9"/>
    <w:rsid w:val="00737CA5"/>
    <w:rsid w:val="0074122E"/>
    <w:rsid w:val="00741266"/>
    <w:rsid w:val="00742B23"/>
    <w:rsid w:val="00742C37"/>
    <w:rsid w:val="00743854"/>
    <w:rsid w:val="00743D4A"/>
    <w:rsid w:val="00744133"/>
    <w:rsid w:val="0074552B"/>
    <w:rsid w:val="0074674C"/>
    <w:rsid w:val="007467C4"/>
    <w:rsid w:val="00747352"/>
    <w:rsid w:val="00747660"/>
    <w:rsid w:val="007502BB"/>
    <w:rsid w:val="007506B6"/>
    <w:rsid w:val="0075082D"/>
    <w:rsid w:val="00751008"/>
    <w:rsid w:val="0075117B"/>
    <w:rsid w:val="007512A1"/>
    <w:rsid w:val="00751CEF"/>
    <w:rsid w:val="0075207B"/>
    <w:rsid w:val="00752A31"/>
    <w:rsid w:val="00753DF1"/>
    <w:rsid w:val="00755119"/>
    <w:rsid w:val="00756CF8"/>
    <w:rsid w:val="007579A7"/>
    <w:rsid w:val="00757BBD"/>
    <w:rsid w:val="007601EB"/>
    <w:rsid w:val="007609FF"/>
    <w:rsid w:val="00760D92"/>
    <w:rsid w:val="0076175D"/>
    <w:rsid w:val="00761D38"/>
    <w:rsid w:val="00762CE8"/>
    <w:rsid w:val="00764006"/>
    <w:rsid w:val="0076434A"/>
    <w:rsid w:val="0076528B"/>
    <w:rsid w:val="00765E9E"/>
    <w:rsid w:val="00766380"/>
    <w:rsid w:val="00766C3D"/>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296"/>
    <w:rsid w:val="00781CC5"/>
    <w:rsid w:val="0078236C"/>
    <w:rsid w:val="007827BC"/>
    <w:rsid w:val="00783D20"/>
    <w:rsid w:val="00784797"/>
    <w:rsid w:val="007857E0"/>
    <w:rsid w:val="0078624F"/>
    <w:rsid w:val="00787180"/>
    <w:rsid w:val="007875E7"/>
    <w:rsid w:val="007919B7"/>
    <w:rsid w:val="0079248A"/>
    <w:rsid w:val="00792C84"/>
    <w:rsid w:val="00793254"/>
    <w:rsid w:val="007942C8"/>
    <w:rsid w:val="00795184"/>
    <w:rsid w:val="00795CC8"/>
    <w:rsid w:val="00795D1C"/>
    <w:rsid w:val="00795FD3"/>
    <w:rsid w:val="0079637E"/>
    <w:rsid w:val="007963DC"/>
    <w:rsid w:val="00796AB9"/>
    <w:rsid w:val="00796E9F"/>
    <w:rsid w:val="007A040F"/>
    <w:rsid w:val="007A0912"/>
    <w:rsid w:val="007A1868"/>
    <w:rsid w:val="007A1D44"/>
    <w:rsid w:val="007A2705"/>
    <w:rsid w:val="007A2DAA"/>
    <w:rsid w:val="007A4CD1"/>
    <w:rsid w:val="007A5267"/>
    <w:rsid w:val="007A58B2"/>
    <w:rsid w:val="007A7E0E"/>
    <w:rsid w:val="007B07E1"/>
    <w:rsid w:val="007B162E"/>
    <w:rsid w:val="007B248C"/>
    <w:rsid w:val="007B2D6E"/>
    <w:rsid w:val="007B32B6"/>
    <w:rsid w:val="007B3FF2"/>
    <w:rsid w:val="007B5207"/>
    <w:rsid w:val="007B5723"/>
    <w:rsid w:val="007B577A"/>
    <w:rsid w:val="007B58F0"/>
    <w:rsid w:val="007B6132"/>
    <w:rsid w:val="007B6286"/>
    <w:rsid w:val="007C19C7"/>
    <w:rsid w:val="007C2EDE"/>
    <w:rsid w:val="007C343E"/>
    <w:rsid w:val="007C3BFE"/>
    <w:rsid w:val="007C48D1"/>
    <w:rsid w:val="007C4D08"/>
    <w:rsid w:val="007C5AE1"/>
    <w:rsid w:val="007C7155"/>
    <w:rsid w:val="007C7398"/>
    <w:rsid w:val="007D0E42"/>
    <w:rsid w:val="007D1941"/>
    <w:rsid w:val="007D1F7B"/>
    <w:rsid w:val="007D3B79"/>
    <w:rsid w:val="007D42C5"/>
    <w:rsid w:val="007D4EB1"/>
    <w:rsid w:val="007D504B"/>
    <w:rsid w:val="007D60B3"/>
    <w:rsid w:val="007D621D"/>
    <w:rsid w:val="007E1165"/>
    <w:rsid w:val="007E2E9D"/>
    <w:rsid w:val="007E30A3"/>
    <w:rsid w:val="007E3B01"/>
    <w:rsid w:val="007E4E81"/>
    <w:rsid w:val="007E5BFD"/>
    <w:rsid w:val="007E6BCF"/>
    <w:rsid w:val="007E6D01"/>
    <w:rsid w:val="007E70D0"/>
    <w:rsid w:val="007E79A3"/>
    <w:rsid w:val="007E79F0"/>
    <w:rsid w:val="007F16AA"/>
    <w:rsid w:val="007F2DE1"/>
    <w:rsid w:val="007F3122"/>
    <w:rsid w:val="007F3157"/>
    <w:rsid w:val="007F32CB"/>
    <w:rsid w:val="007F3CA0"/>
    <w:rsid w:val="007F4275"/>
    <w:rsid w:val="007F4592"/>
    <w:rsid w:val="007F4673"/>
    <w:rsid w:val="007F4F70"/>
    <w:rsid w:val="007F66BF"/>
    <w:rsid w:val="007F722E"/>
    <w:rsid w:val="007F76F2"/>
    <w:rsid w:val="00802D32"/>
    <w:rsid w:val="00803002"/>
    <w:rsid w:val="008031A8"/>
    <w:rsid w:val="0080350C"/>
    <w:rsid w:val="0080364D"/>
    <w:rsid w:val="008036B1"/>
    <w:rsid w:val="008047B3"/>
    <w:rsid w:val="00804C59"/>
    <w:rsid w:val="00805337"/>
    <w:rsid w:val="008057A1"/>
    <w:rsid w:val="00806EBB"/>
    <w:rsid w:val="00810026"/>
    <w:rsid w:val="008102A3"/>
    <w:rsid w:val="008109FF"/>
    <w:rsid w:val="008116A0"/>
    <w:rsid w:val="008118EF"/>
    <w:rsid w:val="00811CCD"/>
    <w:rsid w:val="00812C25"/>
    <w:rsid w:val="00813D32"/>
    <w:rsid w:val="00813D6F"/>
    <w:rsid w:val="0081455C"/>
    <w:rsid w:val="00814B55"/>
    <w:rsid w:val="00816407"/>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CFA"/>
    <w:rsid w:val="00827D0D"/>
    <w:rsid w:val="008305DE"/>
    <w:rsid w:val="00831203"/>
    <w:rsid w:val="0083372F"/>
    <w:rsid w:val="00833731"/>
    <w:rsid w:val="00833F21"/>
    <w:rsid w:val="00836001"/>
    <w:rsid w:val="00836347"/>
    <w:rsid w:val="0084050F"/>
    <w:rsid w:val="00841156"/>
    <w:rsid w:val="00841C1D"/>
    <w:rsid w:val="00841E72"/>
    <w:rsid w:val="00842E6F"/>
    <w:rsid w:val="00842F50"/>
    <w:rsid w:val="008445AC"/>
    <w:rsid w:val="008451B8"/>
    <w:rsid w:val="00846F01"/>
    <w:rsid w:val="00847418"/>
    <w:rsid w:val="00847608"/>
    <w:rsid w:val="00851E9F"/>
    <w:rsid w:val="008521AA"/>
    <w:rsid w:val="008532F5"/>
    <w:rsid w:val="008539B1"/>
    <w:rsid w:val="00853F0F"/>
    <w:rsid w:val="00853FE1"/>
    <w:rsid w:val="00854198"/>
    <w:rsid w:val="00854716"/>
    <w:rsid w:val="00854F17"/>
    <w:rsid w:val="0085553E"/>
    <w:rsid w:val="008562E6"/>
    <w:rsid w:val="00856A2B"/>
    <w:rsid w:val="008570CD"/>
    <w:rsid w:val="008578D5"/>
    <w:rsid w:val="00857C04"/>
    <w:rsid w:val="00860954"/>
    <w:rsid w:val="008610E8"/>
    <w:rsid w:val="0086138B"/>
    <w:rsid w:val="008618D7"/>
    <w:rsid w:val="0086576A"/>
    <w:rsid w:val="00865F37"/>
    <w:rsid w:val="00866BFD"/>
    <w:rsid w:val="00866DE4"/>
    <w:rsid w:val="008672BF"/>
    <w:rsid w:val="008672DF"/>
    <w:rsid w:val="00867974"/>
    <w:rsid w:val="00870661"/>
    <w:rsid w:val="00870C10"/>
    <w:rsid w:val="00870E7C"/>
    <w:rsid w:val="00871A4A"/>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0E"/>
    <w:rsid w:val="008843A6"/>
    <w:rsid w:val="00885347"/>
    <w:rsid w:val="00886389"/>
    <w:rsid w:val="00886C6A"/>
    <w:rsid w:val="00890FFF"/>
    <w:rsid w:val="00891020"/>
    <w:rsid w:val="0089117D"/>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29"/>
    <w:rsid w:val="008B2ED2"/>
    <w:rsid w:val="008B2EE8"/>
    <w:rsid w:val="008B354C"/>
    <w:rsid w:val="008B3A1D"/>
    <w:rsid w:val="008B3BB7"/>
    <w:rsid w:val="008B3FB7"/>
    <w:rsid w:val="008B516C"/>
    <w:rsid w:val="008B5405"/>
    <w:rsid w:val="008B57F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254"/>
    <w:rsid w:val="008D49DD"/>
    <w:rsid w:val="008D5843"/>
    <w:rsid w:val="008D6087"/>
    <w:rsid w:val="008D6572"/>
    <w:rsid w:val="008D7125"/>
    <w:rsid w:val="008D75EB"/>
    <w:rsid w:val="008E09E7"/>
    <w:rsid w:val="008E20C9"/>
    <w:rsid w:val="008E37B1"/>
    <w:rsid w:val="008E3CCE"/>
    <w:rsid w:val="008E3FA1"/>
    <w:rsid w:val="008E4B40"/>
    <w:rsid w:val="008E53BF"/>
    <w:rsid w:val="008E567E"/>
    <w:rsid w:val="008E5894"/>
    <w:rsid w:val="008E6331"/>
    <w:rsid w:val="008E6D5D"/>
    <w:rsid w:val="008F0C4C"/>
    <w:rsid w:val="008F0F9D"/>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39FF"/>
    <w:rsid w:val="0091426C"/>
    <w:rsid w:val="00915787"/>
    <w:rsid w:val="00916F22"/>
    <w:rsid w:val="00916F30"/>
    <w:rsid w:val="0091754F"/>
    <w:rsid w:val="00921BB1"/>
    <w:rsid w:val="00922059"/>
    <w:rsid w:val="0092358C"/>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0DD5"/>
    <w:rsid w:val="0094204A"/>
    <w:rsid w:val="00942AAB"/>
    <w:rsid w:val="00942DDF"/>
    <w:rsid w:val="0094574B"/>
    <w:rsid w:val="009465EC"/>
    <w:rsid w:val="00946B6D"/>
    <w:rsid w:val="00947E56"/>
    <w:rsid w:val="00951059"/>
    <w:rsid w:val="009512F2"/>
    <w:rsid w:val="00951892"/>
    <w:rsid w:val="00951E90"/>
    <w:rsid w:val="0095317E"/>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9A5"/>
    <w:rsid w:val="00965A15"/>
    <w:rsid w:val="00966492"/>
    <w:rsid w:val="0096755C"/>
    <w:rsid w:val="00967971"/>
    <w:rsid w:val="00967BBF"/>
    <w:rsid w:val="0097173E"/>
    <w:rsid w:val="00971D49"/>
    <w:rsid w:val="009721A3"/>
    <w:rsid w:val="0097257D"/>
    <w:rsid w:val="009738B0"/>
    <w:rsid w:val="00974567"/>
    <w:rsid w:val="00974B8C"/>
    <w:rsid w:val="00977AF7"/>
    <w:rsid w:val="00980AC9"/>
    <w:rsid w:val="00981B55"/>
    <w:rsid w:val="009835F0"/>
    <w:rsid w:val="00983661"/>
    <w:rsid w:val="00983FEF"/>
    <w:rsid w:val="00984CC4"/>
    <w:rsid w:val="00985B9E"/>
    <w:rsid w:val="00986608"/>
    <w:rsid w:val="00986A59"/>
    <w:rsid w:val="00986B89"/>
    <w:rsid w:val="009874E5"/>
    <w:rsid w:val="00991D7D"/>
    <w:rsid w:val="009921C9"/>
    <w:rsid w:val="00992454"/>
    <w:rsid w:val="00992CE8"/>
    <w:rsid w:val="00992E9E"/>
    <w:rsid w:val="0099342D"/>
    <w:rsid w:val="00993D0E"/>
    <w:rsid w:val="00993F99"/>
    <w:rsid w:val="009940D7"/>
    <w:rsid w:val="00995B37"/>
    <w:rsid w:val="0099759A"/>
    <w:rsid w:val="009A1195"/>
    <w:rsid w:val="009A1A13"/>
    <w:rsid w:val="009A291A"/>
    <w:rsid w:val="009A412C"/>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2A84"/>
    <w:rsid w:val="009C33F1"/>
    <w:rsid w:val="009C3A05"/>
    <w:rsid w:val="009C4671"/>
    <w:rsid w:val="009C4BBC"/>
    <w:rsid w:val="009C64FE"/>
    <w:rsid w:val="009C69E3"/>
    <w:rsid w:val="009C744A"/>
    <w:rsid w:val="009D001B"/>
    <w:rsid w:val="009D0439"/>
    <w:rsid w:val="009D0455"/>
    <w:rsid w:val="009D0581"/>
    <w:rsid w:val="009D15F6"/>
    <w:rsid w:val="009D17BA"/>
    <w:rsid w:val="009D1E08"/>
    <w:rsid w:val="009D1F8F"/>
    <w:rsid w:val="009D2C46"/>
    <w:rsid w:val="009D41E7"/>
    <w:rsid w:val="009D5530"/>
    <w:rsid w:val="009D6810"/>
    <w:rsid w:val="009D6C00"/>
    <w:rsid w:val="009D75D8"/>
    <w:rsid w:val="009D7948"/>
    <w:rsid w:val="009E1145"/>
    <w:rsid w:val="009E16D6"/>
    <w:rsid w:val="009E1999"/>
    <w:rsid w:val="009E25DC"/>
    <w:rsid w:val="009E303E"/>
    <w:rsid w:val="009E34B0"/>
    <w:rsid w:val="009E366D"/>
    <w:rsid w:val="009E4967"/>
    <w:rsid w:val="009E4F3C"/>
    <w:rsid w:val="009E5687"/>
    <w:rsid w:val="009E69C0"/>
    <w:rsid w:val="009E6B79"/>
    <w:rsid w:val="009E6DDE"/>
    <w:rsid w:val="009E7469"/>
    <w:rsid w:val="009E757E"/>
    <w:rsid w:val="009F0E6D"/>
    <w:rsid w:val="009F1AB6"/>
    <w:rsid w:val="009F1AF6"/>
    <w:rsid w:val="009F1F96"/>
    <w:rsid w:val="009F2AB7"/>
    <w:rsid w:val="009F2B54"/>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966"/>
    <w:rsid w:val="00A11B97"/>
    <w:rsid w:val="00A11BF2"/>
    <w:rsid w:val="00A11CDE"/>
    <w:rsid w:val="00A123E0"/>
    <w:rsid w:val="00A13183"/>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57A"/>
    <w:rsid w:val="00A25CF4"/>
    <w:rsid w:val="00A27B93"/>
    <w:rsid w:val="00A27E99"/>
    <w:rsid w:val="00A303C2"/>
    <w:rsid w:val="00A30A32"/>
    <w:rsid w:val="00A30BDF"/>
    <w:rsid w:val="00A316FB"/>
    <w:rsid w:val="00A31EE2"/>
    <w:rsid w:val="00A32255"/>
    <w:rsid w:val="00A322F0"/>
    <w:rsid w:val="00A34D6F"/>
    <w:rsid w:val="00A34FDA"/>
    <w:rsid w:val="00A366E6"/>
    <w:rsid w:val="00A41338"/>
    <w:rsid w:val="00A41547"/>
    <w:rsid w:val="00A41A3E"/>
    <w:rsid w:val="00A41C58"/>
    <w:rsid w:val="00A41F34"/>
    <w:rsid w:val="00A420C9"/>
    <w:rsid w:val="00A42454"/>
    <w:rsid w:val="00A42ACF"/>
    <w:rsid w:val="00A43A66"/>
    <w:rsid w:val="00A4422A"/>
    <w:rsid w:val="00A45918"/>
    <w:rsid w:val="00A459AA"/>
    <w:rsid w:val="00A47206"/>
    <w:rsid w:val="00A47743"/>
    <w:rsid w:val="00A5065C"/>
    <w:rsid w:val="00A517AB"/>
    <w:rsid w:val="00A51FDE"/>
    <w:rsid w:val="00A52078"/>
    <w:rsid w:val="00A52129"/>
    <w:rsid w:val="00A52A37"/>
    <w:rsid w:val="00A5306A"/>
    <w:rsid w:val="00A53488"/>
    <w:rsid w:val="00A53EFC"/>
    <w:rsid w:val="00A5461A"/>
    <w:rsid w:val="00A54C08"/>
    <w:rsid w:val="00A54EEB"/>
    <w:rsid w:val="00A56006"/>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47B"/>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094C"/>
    <w:rsid w:val="00A91FC2"/>
    <w:rsid w:val="00A92266"/>
    <w:rsid w:val="00A924F1"/>
    <w:rsid w:val="00A925EA"/>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2C85"/>
    <w:rsid w:val="00AB39A3"/>
    <w:rsid w:val="00AB501C"/>
    <w:rsid w:val="00AB58DB"/>
    <w:rsid w:val="00AB6032"/>
    <w:rsid w:val="00AC02D7"/>
    <w:rsid w:val="00AC0507"/>
    <w:rsid w:val="00AC0766"/>
    <w:rsid w:val="00AC1430"/>
    <w:rsid w:val="00AC2AD6"/>
    <w:rsid w:val="00AC2D6E"/>
    <w:rsid w:val="00AC330A"/>
    <w:rsid w:val="00AC334F"/>
    <w:rsid w:val="00AC39F5"/>
    <w:rsid w:val="00AC3DC8"/>
    <w:rsid w:val="00AC41CF"/>
    <w:rsid w:val="00AC4EB4"/>
    <w:rsid w:val="00AD03C5"/>
    <w:rsid w:val="00AD0493"/>
    <w:rsid w:val="00AD0589"/>
    <w:rsid w:val="00AD0B54"/>
    <w:rsid w:val="00AD0DDB"/>
    <w:rsid w:val="00AD1F6C"/>
    <w:rsid w:val="00AD1F83"/>
    <w:rsid w:val="00AD23CC"/>
    <w:rsid w:val="00AD3796"/>
    <w:rsid w:val="00AD4324"/>
    <w:rsid w:val="00AD5168"/>
    <w:rsid w:val="00AD5AFC"/>
    <w:rsid w:val="00AD5ED0"/>
    <w:rsid w:val="00AD70A4"/>
    <w:rsid w:val="00AD7B63"/>
    <w:rsid w:val="00AE05E9"/>
    <w:rsid w:val="00AE08CF"/>
    <w:rsid w:val="00AE0965"/>
    <w:rsid w:val="00AE10E6"/>
    <w:rsid w:val="00AE137E"/>
    <w:rsid w:val="00AE2164"/>
    <w:rsid w:val="00AE233B"/>
    <w:rsid w:val="00AE27B7"/>
    <w:rsid w:val="00AE33BF"/>
    <w:rsid w:val="00AE365E"/>
    <w:rsid w:val="00AE404C"/>
    <w:rsid w:val="00AE4A1E"/>
    <w:rsid w:val="00AE4EDA"/>
    <w:rsid w:val="00AE532E"/>
    <w:rsid w:val="00AE7945"/>
    <w:rsid w:val="00AE7BCA"/>
    <w:rsid w:val="00AF05E7"/>
    <w:rsid w:val="00AF06AD"/>
    <w:rsid w:val="00AF0DFA"/>
    <w:rsid w:val="00AF2889"/>
    <w:rsid w:val="00AF34FF"/>
    <w:rsid w:val="00AF37A4"/>
    <w:rsid w:val="00AF420A"/>
    <w:rsid w:val="00AF43DA"/>
    <w:rsid w:val="00AF5AE4"/>
    <w:rsid w:val="00AF5BFC"/>
    <w:rsid w:val="00AF6142"/>
    <w:rsid w:val="00AF61E2"/>
    <w:rsid w:val="00AF66EB"/>
    <w:rsid w:val="00AF6C2E"/>
    <w:rsid w:val="00AF7AB3"/>
    <w:rsid w:val="00AF7AC6"/>
    <w:rsid w:val="00AF7D9E"/>
    <w:rsid w:val="00B00486"/>
    <w:rsid w:val="00B02210"/>
    <w:rsid w:val="00B0224A"/>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5ED"/>
    <w:rsid w:val="00B20F08"/>
    <w:rsid w:val="00B215C7"/>
    <w:rsid w:val="00B21700"/>
    <w:rsid w:val="00B21E0C"/>
    <w:rsid w:val="00B21F52"/>
    <w:rsid w:val="00B22E75"/>
    <w:rsid w:val="00B244D7"/>
    <w:rsid w:val="00B24F27"/>
    <w:rsid w:val="00B25678"/>
    <w:rsid w:val="00B26C28"/>
    <w:rsid w:val="00B26E2B"/>
    <w:rsid w:val="00B273AD"/>
    <w:rsid w:val="00B32319"/>
    <w:rsid w:val="00B32CF6"/>
    <w:rsid w:val="00B3308C"/>
    <w:rsid w:val="00B336DE"/>
    <w:rsid w:val="00B34388"/>
    <w:rsid w:val="00B34575"/>
    <w:rsid w:val="00B35073"/>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A3F"/>
    <w:rsid w:val="00B51B12"/>
    <w:rsid w:val="00B52312"/>
    <w:rsid w:val="00B524C8"/>
    <w:rsid w:val="00B53398"/>
    <w:rsid w:val="00B541A5"/>
    <w:rsid w:val="00B545F5"/>
    <w:rsid w:val="00B55DC1"/>
    <w:rsid w:val="00B56A9C"/>
    <w:rsid w:val="00B56B41"/>
    <w:rsid w:val="00B56CBE"/>
    <w:rsid w:val="00B56D21"/>
    <w:rsid w:val="00B572D7"/>
    <w:rsid w:val="00B57511"/>
    <w:rsid w:val="00B576E9"/>
    <w:rsid w:val="00B57AAB"/>
    <w:rsid w:val="00B60D83"/>
    <w:rsid w:val="00B616A6"/>
    <w:rsid w:val="00B61C91"/>
    <w:rsid w:val="00B62263"/>
    <w:rsid w:val="00B62BDD"/>
    <w:rsid w:val="00B63767"/>
    <w:rsid w:val="00B64F48"/>
    <w:rsid w:val="00B675C8"/>
    <w:rsid w:val="00B70843"/>
    <w:rsid w:val="00B71467"/>
    <w:rsid w:val="00B71D1B"/>
    <w:rsid w:val="00B72183"/>
    <w:rsid w:val="00B729D0"/>
    <w:rsid w:val="00B73BC8"/>
    <w:rsid w:val="00B74D01"/>
    <w:rsid w:val="00B754FF"/>
    <w:rsid w:val="00B7607D"/>
    <w:rsid w:val="00B76AF4"/>
    <w:rsid w:val="00B77027"/>
    <w:rsid w:val="00B77DEA"/>
    <w:rsid w:val="00B801F3"/>
    <w:rsid w:val="00B80603"/>
    <w:rsid w:val="00B80FCA"/>
    <w:rsid w:val="00B81E34"/>
    <w:rsid w:val="00B834E2"/>
    <w:rsid w:val="00B872BE"/>
    <w:rsid w:val="00B8740E"/>
    <w:rsid w:val="00B87A90"/>
    <w:rsid w:val="00B87B68"/>
    <w:rsid w:val="00B904F1"/>
    <w:rsid w:val="00B9250D"/>
    <w:rsid w:val="00B93BE6"/>
    <w:rsid w:val="00B93FDB"/>
    <w:rsid w:val="00B93FE8"/>
    <w:rsid w:val="00B94A21"/>
    <w:rsid w:val="00B9617C"/>
    <w:rsid w:val="00B96305"/>
    <w:rsid w:val="00BA00CF"/>
    <w:rsid w:val="00BA03A5"/>
    <w:rsid w:val="00BA08EB"/>
    <w:rsid w:val="00BA0B90"/>
    <w:rsid w:val="00BA0D68"/>
    <w:rsid w:val="00BA1C63"/>
    <w:rsid w:val="00BA1DC6"/>
    <w:rsid w:val="00BA204C"/>
    <w:rsid w:val="00BA27E0"/>
    <w:rsid w:val="00BA28FA"/>
    <w:rsid w:val="00BA29FA"/>
    <w:rsid w:val="00BA3206"/>
    <w:rsid w:val="00BA34A9"/>
    <w:rsid w:val="00BA5039"/>
    <w:rsid w:val="00BA5FF9"/>
    <w:rsid w:val="00BA62C6"/>
    <w:rsid w:val="00BA6590"/>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1C1B"/>
    <w:rsid w:val="00BC27BB"/>
    <w:rsid w:val="00BC2BFD"/>
    <w:rsid w:val="00BC2D58"/>
    <w:rsid w:val="00BC31C0"/>
    <w:rsid w:val="00BC35AB"/>
    <w:rsid w:val="00BC3839"/>
    <w:rsid w:val="00BC5387"/>
    <w:rsid w:val="00BC5D88"/>
    <w:rsid w:val="00BC6016"/>
    <w:rsid w:val="00BC6C31"/>
    <w:rsid w:val="00BC6DE0"/>
    <w:rsid w:val="00BD0142"/>
    <w:rsid w:val="00BD2676"/>
    <w:rsid w:val="00BD36E9"/>
    <w:rsid w:val="00BD4BF3"/>
    <w:rsid w:val="00BD50DB"/>
    <w:rsid w:val="00BD5302"/>
    <w:rsid w:val="00BD63E3"/>
    <w:rsid w:val="00BD7E6A"/>
    <w:rsid w:val="00BE0502"/>
    <w:rsid w:val="00BE09C3"/>
    <w:rsid w:val="00BE102A"/>
    <w:rsid w:val="00BE149C"/>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2AC"/>
    <w:rsid w:val="00C062E3"/>
    <w:rsid w:val="00C06AEB"/>
    <w:rsid w:val="00C0792C"/>
    <w:rsid w:val="00C1151F"/>
    <w:rsid w:val="00C118B3"/>
    <w:rsid w:val="00C12278"/>
    <w:rsid w:val="00C12882"/>
    <w:rsid w:val="00C130DD"/>
    <w:rsid w:val="00C13640"/>
    <w:rsid w:val="00C140FE"/>
    <w:rsid w:val="00C14742"/>
    <w:rsid w:val="00C147EA"/>
    <w:rsid w:val="00C14F22"/>
    <w:rsid w:val="00C15D91"/>
    <w:rsid w:val="00C166AC"/>
    <w:rsid w:val="00C16716"/>
    <w:rsid w:val="00C169F7"/>
    <w:rsid w:val="00C171ED"/>
    <w:rsid w:val="00C20097"/>
    <w:rsid w:val="00C202C5"/>
    <w:rsid w:val="00C20490"/>
    <w:rsid w:val="00C20D67"/>
    <w:rsid w:val="00C21672"/>
    <w:rsid w:val="00C225DC"/>
    <w:rsid w:val="00C22720"/>
    <w:rsid w:val="00C22BFF"/>
    <w:rsid w:val="00C22E73"/>
    <w:rsid w:val="00C234EA"/>
    <w:rsid w:val="00C23ACE"/>
    <w:rsid w:val="00C23D66"/>
    <w:rsid w:val="00C243BD"/>
    <w:rsid w:val="00C245D5"/>
    <w:rsid w:val="00C24F68"/>
    <w:rsid w:val="00C25EE9"/>
    <w:rsid w:val="00C263C3"/>
    <w:rsid w:val="00C26660"/>
    <w:rsid w:val="00C272DC"/>
    <w:rsid w:val="00C276E9"/>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2E61"/>
    <w:rsid w:val="00C43146"/>
    <w:rsid w:val="00C43A13"/>
    <w:rsid w:val="00C43D18"/>
    <w:rsid w:val="00C43FC7"/>
    <w:rsid w:val="00C44C20"/>
    <w:rsid w:val="00C47105"/>
    <w:rsid w:val="00C47252"/>
    <w:rsid w:val="00C52A37"/>
    <w:rsid w:val="00C536C6"/>
    <w:rsid w:val="00C54BE5"/>
    <w:rsid w:val="00C54C85"/>
    <w:rsid w:val="00C56CAA"/>
    <w:rsid w:val="00C56D8F"/>
    <w:rsid w:val="00C57A1F"/>
    <w:rsid w:val="00C601E9"/>
    <w:rsid w:val="00C60969"/>
    <w:rsid w:val="00C60B17"/>
    <w:rsid w:val="00C632A9"/>
    <w:rsid w:val="00C639CE"/>
    <w:rsid w:val="00C63C70"/>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A94"/>
    <w:rsid w:val="00C76EB3"/>
    <w:rsid w:val="00C80202"/>
    <w:rsid w:val="00C8115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5D1"/>
    <w:rsid w:val="00C93DCC"/>
    <w:rsid w:val="00C947E4"/>
    <w:rsid w:val="00C9530E"/>
    <w:rsid w:val="00C95C0C"/>
    <w:rsid w:val="00CA05A0"/>
    <w:rsid w:val="00CA0978"/>
    <w:rsid w:val="00CA15E3"/>
    <w:rsid w:val="00CA1D9F"/>
    <w:rsid w:val="00CA208A"/>
    <w:rsid w:val="00CA2B28"/>
    <w:rsid w:val="00CA3062"/>
    <w:rsid w:val="00CA31E6"/>
    <w:rsid w:val="00CA34D2"/>
    <w:rsid w:val="00CA4E7B"/>
    <w:rsid w:val="00CA5B27"/>
    <w:rsid w:val="00CA61A2"/>
    <w:rsid w:val="00CA69E5"/>
    <w:rsid w:val="00CA6D34"/>
    <w:rsid w:val="00CA7AD1"/>
    <w:rsid w:val="00CB001F"/>
    <w:rsid w:val="00CB1FEB"/>
    <w:rsid w:val="00CB2771"/>
    <w:rsid w:val="00CB2AB1"/>
    <w:rsid w:val="00CB392E"/>
    <w:rsid w:val="00CB72E5"/>
    <w:rsid w:val="00CB7D8F"/>
    <w:rsid w:val="00CC10DC"/>
    <w:rsid w:val="00CC1C78"/>
    <w:rsid w:val="00CC2FD9"/>
    <w:rsid w:val="00CC35E2"/>
    <w:rsid w:val="00CC3B58"/>
    <w:rsid w:val="00CC3CF1"/>
    <w:rsid w:val="00CC4070"/>
    <w:rsid w:val="00CC467B"/>
    <w:rsid w:val="00CC4DF5"/>
    <w:rsid w:val="00CC55A5"/>
    <w:rsid w:val="00CC6393"/>
    <w:rsid w:val="00CC63F6"/>
    <w:rsid w:val="00CC6F89"/>
    <w:rsid w:val="00CC7CF3"/>
    <w:rsid w:val="00CD0138"/>
    <w:rsid w:val="00CD0992"/>
    <w:rsid w:val="00CD0C2E"/>
    <w:rsid w:val="00CD1302"/>
    <w:rsid w:val="00CD1F7D"/>
    <w:rsid w:val="00CD25D8"/>
    <w:rsid w:val="00CD28F1"/>
    <w:rsid w:val="00CD344D"/>
    <w:rsid w:val="00CD38B5"/>
    <w:rsid w:val="00CD4E3C"/>
    <w:rsid w:val="00CD4F9E"/>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4C7A"/>
    <w:rsid w:val="00CF592B"/>
    <w:rsid w:val="00CF5BD9"/>
    <w:rsid w:val="00CF6ACC"/>
    <w:rsid w:val="00CF6DD1"/>
    <w:rsid w:val="00D00000"/>
    <w:rsid w:val="00D02400"/>
    <w:rsid w:val="00D02B95"/>
    <w:rsid w:val="00D031B7"/>
    <w:rsid w:val="00D032B8"/>
    <w:rsid w:val="00D0472B"/>
    <w:rsid w:val="00D05D62"/>
    <w:rsid w:val="00D06414"/>
    <w:rsid w:val="00D06640"/>
    <w:rsid w:val="00D067FC"/>
    <w:rsid w:val="00D06840"/>
    <w:rsid w:val="00D06C4A"/>
    <w:rsid w:val="00D12BD3"/>
    <w:rsid w:val="00D15E40"/>
    <w:rsid w:val="00D16BCD"/>
    <w:rsid w:val="00D16BFC"/>
    <w:rsid w:val="00D17E9E"/>
    <w:rsid w:val="00D210C4"/>
    <w:rsid w:val="00D2168C"/>
    <w:rsid w:val="00D22192"/>
    <w:rsid w:val="00D25CD8"/>
    <w:rsid w:val="00D26D81"/>
    <w:rsid w:val="00D27255"/>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29A"/>
    <w:rsid w:val="00D37C84"/>
    <w:rsid w:val="00D4041B"/>
    <w:rsid w:val="00D40C6D"/>
    <w:rsid w:val="00D410C8"/>
    <w:rsid w:val="00D438E2"/>
    <w:rsid w:val="00D45400"/>
    <w:rsid w:val="00D45F67"/>
    <w:rsid w:val="00D463F1"/>
    <w:rsid w:val="00D46ACE"/>
    <w:rsid w:val="00D46E4B"/>
    <w:rsid w:val="00D47E0F"/>
    <w:rsid w:val="00D50A5C"/>
    <w:rsid w:val="00D517F3"/>
    <w:rsid w:val="00D522F7"/>
    <w:rsid w:val="00D53480"/>
    <w:rsid w:val="00D53DFB"/>
    <w:rsid w:val="00D54153"/>
    <w:rsid w:val="00D54D41"/>
    <w:rsid w:val="00D54DCA"/>
    <w:rsid w:val="00D550C6"/>
    <w:rsid w:val="00D55C61"/>
    <w:rsid w:val="00D565A7"/>
    <w:rsid w:val="00D56E37"/>
    <w:rsid w:val="00D5780A"/>
    <w:rsid w:val="00D57984"/>
    <w:rsid w:val="00D579FB"/>
    <w:rsid w:val="00D57E57"/>
    <w:rsid w:val="00D600DC"/>
    <w:rsid w:val="00D608D1"/>
    <w:rsid w:val="00D618EA"/>
    <w:rsid w:val="00D6224E"/>
    <w:rsid w:val="00D62CA7"/>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4DE"/>
    <w:rsid w:val="00D72658"/>
    <w:rsid w:val="00D72916"/>
    <w:rsid w:val="00D744FF"/>
    <w:rsid w:val="00D74F33"/>
    <w:rsid w:val="00D75D73"/>
    <w:rsid w:val="00D761EC"/>
    <w:rsid w:val="00D7687F"/>
    <w:rsid w:val="00D7751D"/>
    <w:rsid w:val="00D807C9"/>
    <w:rsid w:val="00D80835"/>
    <w:rsid w:val="00D82FEB"/>
    <w:rsid w:val="00D83D60"/>
    <w:rsid w:val="00D841E6"/>
    <w:rsid w:val="00D842D4"/>
    <w:rsid w:val="00D84487"/>
    <w:rsid w:val="00D84667"/>
    <w:rsid w:val="00D84BEE"/>
    <w:rsid w:val="00D86118"/>
    <w:rsid w:val="00D86562"/>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3AD"/>
    <w:rsid w:val="00DA243F"/>
    <w:rsid w:val="00DA2C17"/>
    <w:rsid w:val="00DA3674"/>
    <w:rsid w:val="00DA3C79"/>
    <w:rsid w:val="00DA4CF4"/>
    <w:rsid w:val="00DA542A"/>
    <w:rsid w:val="00DA5891"/>
    <w:rsid w:val="00DA5B79"/>
    <w:rsid w:val="00DA600B"/>
    <w:rsid w:val="00DA604A"/>
    <w:rsid w:val="00DA6A90"/>
    <w:rsid w:val="00DA6F9F"/>
    <w:rsid w:val="00DA70A8"/>
    <w:rsid w:val="00DA73D2"/>
    <w:rsid w:val="00DA795B"/>
    <w:rsid w:val="00DA7C94"/>
    <w:rsid w:val="00DB146E"/>
    <w:rsid w:val="00DB2BAD"/>
    <w:rsid w:val="00DB56F3"/>
    <w:rsid w:val="00DB5A59"/>
    <w:rsid w:val="00DB6F16"/>
    <w:rsid w:val="00DC225C"/>
    <w:rsid w:val="00DC2717"/>
    <w:rsid w:val="00DC2FC0"/>
    <w:rsid w:val="00DC38D5"/>
    <w:rsid w:val="00DC4849"/>
    <w:rsid w:val="00DC4FFA"/>
    <w:rsid w:val="00DC508C"/>
    <w:rsid w:val="00DC5C92"/>
    <w:rsid w:val="00DC62CE"/>
    <w:rsid w:val="00DC6486"/>
    <w:rsid w:val="00DC7551"/>
    <w:rsid w:val="00DC77F1"/>
    <w:rsid w:val="00DD01BC"/>
    <w:rsid w:val="00DD0E50"/>
    <w:rsid w:val="00DD125A"/>
    <w:rsid w:val="00DD14F8"/>
    <w:rsid w:val="00DD18A4"/>
    <w:rsid w:val="00DD1AB1"/>
    <w:rsid w:val="00DD1EC2"/>
    <w:rsid w:val="00DD417D"/>
    <w:rsid w:val="00DD5502"/>
    <w:rsid w:val="00DD589D"/>
    <w:rsid w:val="00DD6316"/>
    <w:rsid w:val="00DD6B33"/>
    <w:rsid w:val="00DD6ED8"/>
    <w:rsid w:val="00DE00D7"/>
    <w:rsid w:val="00DE08DC"/>
    <w:rsid w:val="00DE099D"/>
    <w:rsid w:val="00DE18F3"/>
    <w:rsid w:val="00DE1B16"/>
    <w:rsid w:val="00DE1E5B"/>
    <w:rsid w:val="00DE225D"/>
    <w:rsid w:val="00DE2506"/>
    <w:rsid w:val="00DE31D1"/>
    <w:rsid w:val="00DE3264"/>
    <w:rsid w:val="00DE326A"/>
    <w:rsid w:val="00DE4A93"/>
    <w:rsid w:val="00DE4D1E"/>
    <w:rsid w:val="00DE52FA"/>
    <w:rsid w:val="00DE5569"/>
    <w:rsid w:val="00DE58CC"/>
    <w:rsid w:val="00DE5BA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9AE"/>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270D"/>
    <w:rsid w:val="00E13679"/>
    <w:rsid w:val="00E148D6"/>
    <w:rsid w:val="00E14AA9"/>
    <w:rsid w:val="00E15606"/>
    <w:rsid w:val="00E16787"/>
    <w:rsid w:val="00E171F7"/>
    <w:rsid w:val="00E172DC"/>
    <w:rsid w:val="00E21428"/>
    <w:rsid w:val="00E21CBA"/>
    <w:rsid w:val="00E21D57"/>
    <w:rsid w:val="00E220EC"/>
    <w:rsid w:val="00E22652"/>
    <w:rsid w:val="00E2274C"/>
    <w:rsid w:val="00E22969"/>
    <w:rsid w:val="00E22A65"/>
    <w:rsid w:val="00E22F19"/>
    <w:rsid w:val="00E2385D"/>
    <w:rsid w:val="00E2483D"/>
    <w:rsid w:val="00E24E99"/>
    <w:rsid w:val="00E252F6"/>
    <w:rsid w:val="00E2645E"/>
    <w:rsid w:val="00E26E3A"/>
    <w:rsid w:val="00E272ED"/>
    <w:rsid w:val="00E27E41"/>
    <w:rsid w:val="00E27F41"/>
    <w:rsid w:val="00E32325"/>
    <w:rsid w:val="00E32CED"/>
    <w:rsid w:val="00E33D10"/>
    <w:rsid w:val="00E33D22"/>
    <w:rsid w:val="00E34B87"/>
    <w:rsid w:val="00E36367"/>
    <w:rsid w:val="00E37B91"/>
    <w:rsid w:val="00E4032F"/>
    <w:rsid w:val="00E42776"/>
    <w:rsid w:val="00E42BDF"/>
    <w:rsid w:val="00E437CD"/>
    <w:rsid w:val="00E457FE"/>
    <w:rsid w:val="00E45844"/>
    <w:rsid w:val="00E46176"/>
    <w:rsid w:val="00E469EC"/>
    <w:rsid w:val="00E46B69"/>
    <w:rsid w:val="00E50294"/>
    <w:rsid w:val="00E50C4E"/>
    <w:rsid w:val="00E510D3"/>
    <w:rsid w:val="00E51187"/>
    <w:rsid w:val="00E517BA"/>
    <w:rsid w:val="00E52CF3"/>
    <w:rsid w:val="00E5322C"/>
    <w:rsid w:val="00E53391"/>
    <w:rsid w:val="00E53DC8"/>
    <w:rsid w:val="00E541BE"/>
    <w:rsid w:val="00E546D5"/>
    <w:rsid w:val="00E54E04"/>
    <w:rsid w:val="00E551DF"/>
    <w:rsid w:val="00E56C37"/>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36"/>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13A5"/>
    <w:rsid w:val="00E92318"/>
    <w:rsid w:val="00E9257D"/>
    <w:rsid w:val="00E9258B"/>
    <w:rsid w:val="00E93D53"/>
    <w:rsid w:val="00E945AE"/>
    <w:rsid w:val="00E94947"/>
    <w:rsid w:val="00E94E49"/>
    <w:rsid w:val="00E95184"/>
    <w:rsid w:val="00E955BD"/>
    <w:rsid w:val="00E95D19"/>
    <w:rsid w:val="00E96562"/>
    <w:rsid w:val="00E966D4"/>
    <w:rsid w:val="00E967A9"/>
    <w:rsid w:val="00E973F3"/>
    <w:rsid w:val="00EA06E5"/>
    <w:rsid w:val="00EA12EC"/>
    <w:rsid w:val="00EA1612"/>
    <w:rsid w:val="00EA2BDE"/>
    <w:rsid w:val="00EA2E6F"/>
    <w:rsid w:val="00EA46DE"/>
    <w:rsid w:val="00EA51D2"/>
    <w:rsid w:val="00EA6620"/>
    <w:rsid w:val="00EA70EF"/>
    <w:rsid w:val="00EA773D"/>
    <w:rsid w:val="00EA7953"/>
    <w:rsid w:val="00EB0504"/>
    <w:rsid w:val="00EB06BF"/>
    <w:rsid w:val="00EB10D6"/>
    <w:rsid w:val="00EB1C97"/>
    <w:rsid w:val="00EB1F8E"/>
    <w:rsid w:val="00EB2276"/>
    <w:rsid w:val="00EB3670"/>
    <w:rsid w:val="00EB4075"/>
    <w:rsid w:val="00EB467F"/>
    <w:rsid w:val="00EB49E8"/>
    <w:rsid w:val="00EB618F"/>
    <w:rsid w:val="00EB6C54"/>
    <w:rsid w:val="00EB742E"/>
    <w:rsid w:val="00EC005B"/>
    <w:rsid w:val="00EC0654"/>
    <w:rsid w:val="00EC09F9"/>
    <w:rsid w:val="00EC12B5"/>
    <w:rsid w:val="00EC43AA"/>
    <w:rsid w:val="00EC5C49"/>
    <w:rsid w:val="00EC61E1"/>
    <w:rsid w:val="00EC620F"/>
    <w:rsid w:val="00EC6426"/>
    <w:rsid w:val="00EC6BB2"/>
    <w:rsid w:val="00EC6F51"/>
    <w:rsid w:val="00EC7DD6"/>
    <w:rsid w:val="00ED14CD"/>
    <w:rsid w:val="00ED291D"/>
    <w:rsid w:val="00ED2D86"/>
    <w:rsid w:val="00ED3142"/>
    <w:rsid w:val="00ED48BB"/>
    <w:rsid w:val="00ED4D8C"/>
    <w:rsid w:val="00ED691A"/>
    <w:rsid w:val="00ED6CFC"/>
    <w:rsid w:val="00EE01B5"/>
    <w:rsid w:val="00EE0BEF"/>
    <w:rsid w:val="00EE0EB2"/>
    <w:rsid w:val="00EE15BE"/>
    <w:rsid w:val="00EE1AAA"/>
    <w:rsid w:val="00EE2AB0"/>
    <w:rsid w:val="00EE2C12"/>
    <w:rsid w:val="00EE4A25"/>
    <w:rsid w:val="00EE629A"/>
    <w:rsid w:val="00EE6853"/>
    <w:rsid w:val="00EE69C6"/>
    <w:rsid w:val="00EE6C0E"/>
    <w:rsid w:val="00EE7275"/>
    <w:rsid w:val="00EE7F4A"/>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1150"/>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5961"/>
    <w:rsid w:val="00F1681C"/>
    <w:rsid w:val="00F16869"/>
    <w:rsid w:val="00F16F43"/>
    <w:rsid w:val="00F1703B"/>
    <w:rsid w:val="00F172EB"/>
    <w:rsid w:val="00F17ECC"/>
    <w:rsid w:val="00F20BD9"/>
    <w:rsid w:val="00F21971"/>
    <w:rsid w:val="00F22267"/>
    <w:rsid w:val="00F2297A"/>
    <w:rsid w:val="00F233C5"/>
    <w:rsid w:val="00F233F6"/>
    <w:rsid w:val="00F23766"/>
    <w:rsid w:val="00F23D01"/>
    <w:rsid w:val="00F23E2C"/>
    <w:rsid w:val="00F24826"/>
    <w:rsid w:val="00F24D28"/>
    <w:rsid w:val="00F24E90"/>
    <w:rsid w:val="00F26655"/>
    <w:rsid w:val="00F266DF"/>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66D01"/>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981"/>
    <w:rsid w:val="00F81CDD"/>
    <w:rsid w:val="00F8238A"/>
    <w:rsid w:val="00F826D1"/>
    <w:rsid w:val="00F83011"/>
    <w:rsid w:val="00F83995"/>
    <w:rsid w:val="00F84150"/>
    <w:rsid w:val="00F84281"/>
    <w:rsid w:val="00F84B8B"/>
    <w:rsid w:val="00F854AB"/>
    <w:rsid w:val="00F858E7"/>
    <w:rsid w:val="00F85C25"/>
    <w:rsid w:val="00F86FDF"/>
    <w:rsid w:val="00F8775B"/>
    <w:rsid w:val="00F878AE"/>
    <w:rsid w:val="00F87A60"/>
    <w:rsid w:val="00F87B8D"/>
    <w:rsid w:val="00F904C2"/>
    <w:rsid w:val="00F955C9"/>
    <w:rsid w:val="00F96430"/>
    <w:rsid w:val="00F97136"/>
    <w:rsid w:val="00F97D38"/>
    <w:rsid w:val="00F97F67"/>
    <w:rsid w:val="00FA1E01"/>
    <w:rsid w:val="00FA29E9"/>
    <w:rsid w:val="00FA38D1"/>
    <w:rsid w:val="00FA418C"/>
    <w:rsid w:val="00FA58B7"/>
    <w:rsid w:val="00FA60CB"/>
    <w:rsid w:val="00FA638B"/>
    <w:rsid w:val="00FA6608"/>
    <w:rsid w:val="00FA7D9F"/>
    <w:rsid w:val="00FB097F"/>
    <w:rsid w:val="00FB0B1D"/>
    <w:rsid w:val="00FB143B"/>
    <w:rsid w:val="00FB2F9A"/>
    <w:rsid w:val="00FB6F39"/>
    <w:rsid w:val="00FB7150"/>
    <w:rsid w:val="00FB7479"/>
    <w:rsid w:val="00FC016A"/>
    <w:rsid w:val="00FC0B78"/>
    <w:rsid w:val="00FC19C5"/>
    <w:rsid w:val="00FC3533"/>
    <w:rsid w:val="00FC3A84"/>
    <w:rsid w:val="00FC4778"/>
    <w:rsid w:val="00FC48A4"/>
    <w:rsid w:val="00FC53E9"/>
    <w:rsid w:val="00FC576B"/>
    <w:rsid w:val="00FC5B41"/>
    <w:rsid w:val="00FC6DEB"/>
    <w:rsid w:val="00FC7DCD"/>
    <w:rsid w:val="00FD0867"/>
    <w:rsid w:val="00FD0ADA"/>
    <w:rsid w:val="00FD15B7"/>
    <w:rsid w:val="00FD1D35"/>
    <w:rsid w:val="00FD21EE"/>
    <w:rsid w:val="00FD559D"/>
    <w:rsid w:val="00FD5664"/>
    <w:rsid w:val="00FD5AD6"/>
    <w:rsid w:val="00FD6937"/>
    <w:rsid w:val="00FD6EF7"/>
    <w:rsid w:val="00FD6FA7"/>
    <w:rsid w:val="00FE0DB8"/>
    <w:rsid w:val="00FE0E60"/>
    <w:rsid w:val="00FE27B4"/>
    <w:rsid w:val="00FE2B4C"/>
    <w:rsid w:val="00FE2E8B"/>
    <w:rsid w:val="00FE310E"/>
    <w:rsid w:val="00FE34A1"/>
    <w:rsid w:val="00FE3A08"/>
    <w:rsid w:val="00FE3C7B"/>
    <w:rsid w:val="00FE44DF"/>
    <w:rsid w:val="00FE46F0"/>
    <w:rsid w:val="00FE55C2"/>
    <w:rsid w:val="00FE6B9E"/>
    <w:rsid w:val="00FE6DBB"/>
    <w:rsid w:val="00FE7040"/>
    <w:rsid w:val="00FE7C2F"/>
    <w:rsid w:val="00FE7D4E"/>
    <w:rsid w:val="00FE7E93"/>
    <w:rsid w:val="00FF16D8"/>
    <w:rsid w:val="00FF2025"/>
    <w:rsid w:val="00FF29F1"/>
    <w:rsid w:val="00FF2A73"/>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A80C86F"/>
  <w15:docId w15:val="{4EB6E862-FE4F-44CA-8CE2-91722B2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21667069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7172332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055353869">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1396601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8169849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19960328">
      <w:bodyDiv w:val="1"/>
      <w:marLeft w:val="0"/>
      <w:marRight w:val="0"/>
      <w:marTop w:val="0"/>
      <w:marBottom w:val="0"/>
      <w:divBdr>
        <w:top w:val="none" w:sz="0" w:space="0" w:color="auto"/>
        <w:left w:val="none" w:sz="0" w:space="0" w:color="auto"/>
        <w:bottom w:val="none" w:sz="0" w:space="0" w:color="auto"/>
        <w:right w:val="none" w:sz="0" w:space="0" w:color="auto"/>
      </w:divBdr>
      <w:divsChild>
        <w:div w:id="1455058678">
          <w:marLeft w:val="346"/>
          <w:marRight w:val="0"/>
          <w:marTop w:val="18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43AA-928F-42DF-B82A-49DD1526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Trotz herausforderndem Jahr investiert TGW Logistics</vt:lpstr>
    </vt:vector>
  </TitlesOfParts>
  <Company>TGW Group</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Trotz herausforderndem Jahr investiert TGW Logistics</dc:title>
  <dc:subject/>
  <dc:creator>Wohlfarth Andrea</dc:creator>
  <cp:keywords>Trotz herausforderndem Jahr investiert TGW Logistics</cp:keywords>
  <dc:description/>
  <cp:lastModifiedBy>Tahedl Alexander</cp:lastModifiedBy>
  <cp:revision>220</cp:revision>
  <cp:lastPrinted>2020-09-07T05:28:00Z</cp:lastPrinted>
  <dcterms:created xsi:type="dcterms:W3CDTF">2022-12-12T12:13:00Z</dcterms:created>
  <dcterms:modified xsi:type="dcterms:W3CDTF">2023-10-24T13:08:00Z</dcterms:modified>
</cp:coreProperties>
</file>