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D2" w:rsidRPr="006A209B" w:rsidRDefault="0097364C" w:rsidP="0097364C">
      <w:pPr>
        <w:ind w:left="142" w:right="1693"/>
        <w:jc w:val="left"/>
        <w:rPr>
          <w:rFonts w:cs="Arial"/>
          <w:b/>
          <w:sz w:val="28"/>
          <w:szCs w:val="28"/>
          <w:lang w:val="fr-FR" w:eastAsia="de-AT"/>
        </w:rPr>
      </w:pPr>
      <w:r>
        <w:rPr>
          <w:rFonts w:cs="Arial"/>
          <w:b/>
          <w:sz w:val="28"/>
          <w:szCs w:val="28"/>
          <w:lang w:val="fr-FR" w:eastAsia="de-AT"/>
        </w:rPr>
        <w:t xml:space="preserve">Vision et Réalisation – TGW </w:t>
      </w:r>
      <w:r w:rsidR="003B4ED2" w:rsidRPr="006A209B">
        <w:rPr>
          <w:rFonts w:cs="Arial"/>
          <w:b/>
          <w:sz w:val="28"/>
          <w:szCs w:val="28"/>
          <w:lang w:val="fr-FR" w:eastAsia="de-AT"/>
        </w:rPr>
        <w:t xml:space="preserve">présente </w:t>
      </w:r>
      <w:r w:rsidR="006A209B" w:rsidRPr="006A209B">
        <w:rPr>
          <w:rFonts w:cs="Arial"/>
          <w:b/>
          <w:sz w:val="28"/>
          <w:szCs w:val="28"/>
          <w:lang w:val="fr-FR" w:eastAsia="de-AT"/>
        </w:rPr>
        <w:t>le</w:t>
      </w:r>
      <w:r w:rsidR="003B4ED2" w:rsidRPr="006A209B">
        <w:rPr>
          <w:rFonts w:cs="Arial"/>
          <w:b/>
          <w:sz w:val="28"/>
          <w:szCs w:val="28"/>
          <w:lang w:val="fr-FR" w:eastAsia="de-AT"/>
        </w:rPr>
        <w:t xml:space="preserve"> jumeau numérique </w:t>
      </w:r>
      <w:r w:rsidR="006A209B" w:rsidRPr="006A209B">
        <w:rPr>
          <w:rFonts w:cs="Arial"/>
          <w:b/>
          <w:sz w:val="28"/>
          <w:szCs w:val="28"/>
          <w:lang w:val="fr-FR" w:eastAsia="de-AT"/>
        </w:rPr>
        <w:t xml:space="preserve">du Rovolution </w:t>
      </w:r>
      <w:r w:rsidR="003B4ED2" w:rsidRPr="006A209B">
        <w:rPr>
          <w:rFonts w:cs="Arial"/>
          <w:b/>
          <w:sz w:val="28"/>
          <w:szCs w:val="28"/>
          <w:lang w:val="fr-FR" w:eastAsia="de-AT"/>
        </w:rPr>
        <w:t>au LogiMAT 2020</w:t>
      </w:r>
    </w:p>
    <w:p w:rsidR="003B4ED2" w:rsidRPr="003B4ED2" w:rsidRDefault="003B4ED2" w:rsidP="0097364C">
      <w:pPr>
        <w:ind w:left="142" w:right="1693"/>
        <w:rPr>
          <w:rFonts w:cs="Arial"/>
          <w:szCs w:val="20"/>
          <w:lang w:val="fr-FR" w:eastAsia="de-AT"/>
        </w:rPr>
      </w:pPr>
    </w:p>
    <w:p w:rsidR="003B4ED2" w:rsidRPr="0097364C" w:rsidRDefault="00435FDF" w:rsidP="0097364C">
      <w:pPr>
        <w:pStyle w:val="Listenabsatz"/>
        <w:numPr>
          <w:ilvl w:val="0"/>
          <w:numId w:val="29"/>
        </w:numPr>
        <w:ind w:right="1693"/>
        <w:jc w:val="left"/>
        <w:rPr>
          <w:rFonts w:cs="Arial"/>
          <w:b/>
          <w:sz w:val="24"/>
          <w:szCs w:val="24"/>
          <w:lang w:val="fr-FR" w:eastAsia="de-AT"/>
        </w:rPr>
      </w:pPr>
      <w:r w:rsidRPr="0097364C">
        <w:rPr>
          <w:rFonts w:cs="Arial"/>
          <w:b/>
          <w:sz w:val="24"/>
          <w:szCs w:val="24"/>
          <w:lang w:val="fr-FR" w:eastAsia="de-AT"/>
        </w:rPr>
        <w:t xml:space="preserve">Focus </w:t>
      </w:r>
      <w:r w:rsidR="003B4ED2" w:rsidRPr="0097364C">
        <w:rPr>
          <w:rFonts w:cs="Arial"/>
          <w:b/>
          <w:sz w:val="24"/>
          <w:szCs w:val="24"/>
          <w:lang w:val="fr-FR" w:eastAsia="de-AT"/>
        </w:rPr>
        <w:t xml:space="preserve">sur le portefeuille de solutions </w:t>
      </w:r>
      <w:r w:rsidRPr="0097364C">
        <w:rPr>
          <w:rFonts w:cs="Arial"/>
          <w:b/>
          <w:sz w:val="24"/>
          <w:szCs w:val="24"/>
          <w:lang w:val="fr-FR" w:eastAsia="de-AT"/>
        </w:rPr>
        <w:t>globales</w:t>
      </w:r>
      <w:r w:rsidR="003B4ED2" w:rsidRPr="0097364C">
        <w:rPr>
          <w:rFonts w:cs="Arial"/>
          <w:b/>
          <w:sz w:val="24"/>
          <w:szCs w:val="24"/>
          <w:lang w:val="fr-FR" w:eastAsia="de-AT"/>
        </w:rPr>
        <w:t xml:space="preserve"> de l</w:t>
      </w:r>
      <w:r w:rsidRPr="0097364C">
        <w:rPr>
          <w:rFonts w:cs="Arial"/>
          <w:b/>
          <w:sz w:val="24"/>
          <w:szCs w:val="24"/>
          <w:lang w:val="fr-FR" w:eastAsia="de-AT"/>
        </w:rPr>
        <w:t>’</w:t>
      </w:r>
      <w:r w:rsidR="003B4ED2" w:rsidRPr="0097364C">
        <w:rPr>
          <w:rFonts w:cs="Arial"/>
          <w:b/>
          <w:sz w:val="24"/>
          <w:szCs w:val="24"/>
          <w:lang w:val="fr-FR" w:eastAsia="de-AT"/>
        </w:rPr>
        <w:t>Intégrateur de système</w:t>
      </w:r>
      <w:r w:rsidRPr="0097364C">
        <w:rPr>
          <w:rFonts w:cs="Arial"/>
          <w:b/>
          <w:sz w:val="24"/>
          <w:szCs w:val="24"/>
          <w:lang w:val="fr-FR" w:eastAsia="de-AT"/>
        </w:rPr>
        <w:t>s</w:t>
      </w:r>
      <w:r w:rsidR="003B4ED2" w:rsidRPr="0097364C">
        <w:rPr>
          <w:rFonts w:cs="Arial"/>
          <w:b/>
          <w:sz w:val="24"/>
          <w:szCs w:val="24"/>
          <w:lang w:val="fr-FR" w:eastAsia="de-AT"/>
        </w:rPr>
        <w:t xml:space="preserve"> autrichien</w:t>
      </w:r>
    </w:p>
    <w:p w:rsidR="003B4ED2" w:rsidRPr="0097364C" w:rsidRDefault="003B4ED2" w:rsidP="0097364C">
      <w:pPr>
        <w:pStyle w:val="Listenabsatz"/>
        <w:numPr>
          <w:ilvl w:val="0"/>
          <w:numId w:val="29"/>
        </w:numPr>
        <w:ind w:right="1693"/>
        <w:jc w:val="left"/>
        <w:rPr>
          <w:rFonts w:cs="Arial"/>
          <w:b/>
          <w:sz w:val="24"/>
          <w:szCs w:val="24"/>
          <w:lang w:val="fr-FR" w:eastAsia="de-AT"/>
        </w:rPr>
      </w:pPr>
      <w:r w:rsidRPr="0097364C">
        <w:rPr>
          <w:rFonts w:cs="Arial"/>
          <w:b/>
          <w:sz w:val="24"/>
          <w:szCs w:val="24"/>
          <w:lang w:val="fr-FR" w:eastAsia="de-AT"/>
        </w:rPr>
        <w:t xml:space="preserve">La numérisation des services et des produits </w:t>
      </w:r>
      <w:r w:rsidR="00753680" w:rsidRPr="0097364C">
        <w:rPr>
          <w:rFonts w:cs="Arial"/>
          <w:b/>
          <w:sz w:val="24"/>
          <w:szCs w:val="24"/>
          <w:lang w:val="fr-FR" w:eastAsia="de-AT"/>
        </w:rPr>
        <w:t>comme</w:t>
      </w:r>
      <w:r w:rsidRPr="0097364C">
        <w:rPr>
          <w:rFonts w:cs="Arial"/>
          <w:b/>
          <w:sz w:val="24"/>
          <w:szCs w:val="24"/>
          <w:lang w:val="fr-FR" w:eastAsia="de-AT"/>
        </w:rPr>
        <w:t xml:space="preserve"> pièce maîtresse</w:t>
      </w:r>
    </w:p>
    <w:p w:rsidR="003B4ED2" w:rsidRPr="0097364C" w:rsidRDefault="003B4ED2" w:rsidP="0097364C">
      <w:pPr>
        <w:pStyle w:val="Listenabsatz"/>
        <w:numPr>
          <w:ilvl w:val="0"/>
          <w:numId w:val="29"/>
        </w:numPr>
        <w:ind w:right="1693"/>
        <w:jc w:val="left"/>
        <w:rPr>
          <w:rFonts w:cs="Arial"/>
          <w:b/>
          <w:sz w:val="24"/>
          <w:szCs w:val="24"/>
          <w:lang w:val="fr-FR" w:eastAsia="de-AT"/>
        </w:rPr>
      </w:pPr>
      <w:r w:rsidRPr="0097364C">
        <w:rPr>
          <w:rFonts w:cs="Arial"/>
          <w:b/>
          <w:sz w:val="24"/>
          <w:szCs w:val="24"/>
          <w:lang w:val="fr-FR" w:eastAsia="de-AT"/>
        </w:rPr>
        <w:t>Le jumeau numérique du robot de préparation des</w:t>
      </w:r>
      <w:r w:rsidR="00753680" w:rsidRPr="0097364C">
        <w:rPr>
          <w:rFonts w:cs="Arial"/>
          <w:b/>
          <w:sz w:val="24"/>
          <w:szCs w:val="24"/>
          <w:lang w:val="fr-FR" w:eastAsia="de-AT"/>
        </w:rPr>
        <w:t xml:space="preserve"> commandes Rovolution assure </w:t>
      </w:r>
      <w:r w:rsidRPr="0097364C">
        <w:rPr>
          <w:rFonts w:cs="Arial"/>
          <w:b/>
          <w:sz w:val="24"/>
          <w:szCs w:val="24"/>
          <w:lang w:val="fr-FR" w:eastAsia="de-AT"/>
        </w:rPr>
        <w:t>transparence et performances accrues</w:t>
      </w:r>
    </w:p>
    <w:p w:rsidR="003B4ED2" w:rsidRPr="003B4ED2" w:rsidRDefault="003B4ED2" w:rsidP="0097364C">
      <w:pPr>
        <w:ind w:left="142" w:right="1693"/>
        <w:rPr>
          <w:rFonts w:cs="Arial"/>
          <w:b/>
          <w:szCs w:val="20"/>
          <w:lang w:val="fr-FR" w:eastAsia="de-AT"/>
        </w:rPr>
      </w:pPr>
    </w:p>
    <w:p w:rsidR="003B4ED2" w:rsidRPr="003B4ED2" w:rsidRDefault="003B4ED2" w:rsidP="00893BC3">
      <w:pPr>
        <w:spacing w:line="360" w:lineRule="auto"/>
        <w:ind w:left="142" w:right="1693"/>
        <w:rPr>
          <w:rFonts w:cs="Arial"/>
          <w:b/>
          <w:szCs w:val="20"/>
          <w:lang w:val="fr-FR" w:eastAsia="de-AT"/>
        </w:rPr>
      </w:pPr>
      <w:r w:rsidRPr="003B4ED2">
        <w:rPr>
          <w:rFonts w:cs="Arial"/>
          <w:b/>
          <w:szCs w:val="20"/>
          <w:lang w:val="fr-FR" w:eastAsia="de-AT"/>
        </w:rPr>
        <w:t>(Marchtrenk, Autriche, 30 janvier 2020) L'intégrateur de systèmes TGW connaît le succès sur le marché avec son portefeuille de solutions depuis de nombreuses années. La marque de fabrique de TGW en tant que sp</w:t>
      </w:r>
      <w:r w:rsidR="00753680">
        <w:rPr>
          <w:rFonts w:cs="Arial"/>
          <w:b/>
          <w:szCs w:val="20"/>
          <w:lang w:val="fr-FR" w:eastAsia="de-AT"/>
        </w:rPr>
        <w:t xml:space="preserve">écialiste de l'intralogistique sont </w:t>
      </w:r>
      <w:r w:rsidRPr="003B4ED2">
        <w:rPr>
          <w:rFonts w:cs="Arial"/>
          <w:b/>
          <w:szCs w:val="20"/>
          <w:lang w:val="fr-FR" w:eastAsia="de-AT"/>
        </w:rPr>
        <w:t>son logiciel associé à un haut niveau d'expertise en matière de planification et de gestion de projets, une organisation de services rapide et fiable dans le cadre de Lifetime Services et des composants mécatroniques parfaitement adaptés. Toutefois, TGW va encore plus loin et met l'accent sur les services numériques.</w:t>
      </w:r>
    </w:p>
    <w:p w:rsidR="003B4ED2" w:rsidRPr="003B4ED2" w:rsidRDefault="003B4ED2" w:rsidP="00893BC3">
      <w:pPr>
        <w:spacing w:line="360" w:lineRule="auto"/>
        <w:ind w:left="142" w:right="1693"/>
        <w:rPr>
          <w:rFonts w:cs="Arial"/>
          <w:szCs w:val="20"/>
          <w:lang w:val="fr-FR" w:eastAsia="de-AT"/>
        </w:rPr>
      </w:pPr>
    </w:p>
    <w:p w:rsidR="003B4ED2" w:rsidRPr="003B4ED2" w:rsidRDefault="0097364C" w:rsidP="00893BC3">
      <w:pPr>
        <w:spacing w:line="360" w:lineRule="auto"/>
        <w:ind w:left="142" w:right="1693"/>
        <w:rPr>
          <w:rFonts w:cs="Arial"/>
          <w:szCs w:val="20"/>
          <w:lang w:val="fr-FR" w:eastAsia="de-AT"/>
        </w:rPr>
      </w:pPr>
      <w:r w:rsidRPr="0097364C">
        <w:rPr>
          <w:lang w:val="fr-FR"/>
        </w:rPr>
        <w:t>„</w:t>
      </w:r>
      <w:r w:rsidR="003B4ED2" w:rsidRPr="003B4ED2">
        <w:rPr>
          <w:rFonts w:cs="Arial"/>
          <w:szCs w:val="20"/>
          <w:lang w:val="fr-FR" w:eastAsia="de-AT"/>
        </w:rPr>
        <w:t>TGW est devenu un intégrateur de systèmes prospère et est fier de ses 50 ans d'expérience dans le développement de produits mécatroniques</w:t>
      </w:r>
      <w:r w:rsidRPr="0097364C">
        <w:rPr>
          <w:lang w:val="fr-FR"/>
        </w:rPr>
        <w:t>“</w:t>
      </w:r>
      <w:r w:rsidR="003B4ED2" w:rsidRPr="003B4ED2">
        <w:rPr>
          <w:rFonts w:cs="Arial"/>
          <w:szCs w:val="20"/>
          <w:lang w:val="fr-FR" w:eastAsia="de-AT"/>
        </w:rPr>
        <w:t xml:space="preserve">, déclare Christoph Wolkerstorfer, CSO du groupe logistique de TGW. </w:t>
      </w:r>
      <w:r>
        <w:t>„</w:t>
      </w:r>
      <w:r w:rsidR="003B4ED2" w:rsidRPr="003B4ED2">
        <w:rPr>
          <w:rFonts w:cs="Arial"/>
          <w:szCs w:val="20"/>
          <w:lang w:val="fr-FR" w:eastAsia="de-AT"/>
        </w:rPr>
        <w:t>Nous franchissons maintenant une nouvelle étape dans notre évolution en numérisant nos produits. TGW fait évoluer l'intralogistique de manière cohérente et relie l'expertise en matière de systèmes et de solutions à des logiciels experts et à des services numériques</w:t>
      </w:r>
      <w:r w:rsidRPr="0097364C">
        <w:rPr>
          <w:lang w:val="fr-FR"/>
        </w:rPr>
        <w:t>“</w:t>
      </w:r>
      <w:r w:rsidR="003B4ED2" w:rsidRPr="003B4ED2">
        <w:rPr>
          <w:rFonts w:cs="Arial"/>
          <w:szCs w:val="20"/>
          <w:lang w:val="fr-FR" w:eastAsia="de-AT"/>
        </w:rPr>
        <w:t>.</w:t>
      </w:r>
    </w:p>
    <w:p w:rsidR="003B4ED2" w:rsidRPr="003B4ED2" w:rsidRDefault="003B4ED2" w:rsidP="00893BC3">
      <w:pPr>
        <w:spacing w:line="360" w:lineRule="auto"/>
        <w:ind w:left="142" w:right="1693"/>
        <w:rPr>
          <w:rFonts w:cs="Arial"/>
          <w:szCs w:val="20"/>
          <w:lang w:val="fr-FR" w:eastAsia="de-AT"/>
        </w:rPr>
      </w:pPr>
    </w:p>
    <w:p w:rsidR="003B4ED2" w:rsidRPr="003B4ED2" w:rsidRDefault="003B4ED2" w:rsidP="00893BC3">
      <w:pPr>
        <w:spacing w:line="360" w:lineRule="auto"/>
        <w:ind w:left="142" w:right="1693"/>
        <w:rPr>
          <w:rFonts w:cs="Arial"/>
          <w:b/>
          <w:szCs w:val="20"/>
          <w:lang w:val="fr-FR" w:eastAsia="de-AT"/>
        </w:rPr>
      </w:pPr>
      <w:r w:rsidRPr="003B4ED2">
        <w:rPr>
          <w:rFonts w:cs="Arial"/>
          <w:b/>
          <w:szCs w:val="20"/>
          <w:lang w:val="fr-FR" w:eastAsia="de-AT"/>
        </w:rPr>
        <w:t>Le</w:t>
      </w:r>
      <w:r>
        <w:rPr>
          <w:rFonts w:cs="Arial"/>
          <w:b/>
          <w:szCs w:val="20"/>
          <w:lang w:val="fr-FR" w:eastAsia="de-AT"/>
        </w:rPr>
        <w:t xml:space="preserve"> jumeau numérique de Rovolution</w:t>
      </w:r>
    </w:p>
    <w:p w:rsidR="003B4ED2" w:rsidRPr="003B4ED2" w:rsidRDefault="003B4ED2" w:rsidP="00893BC3">
      <w:pPr>
        <w:spacing w:line="360" w:lineRule="auto"/>
        <w:ind w:left="142" w:right="1693"/>
        <w:rPr>
          <w:rFonts w:cs="Arial"/>
          <w:szCs w:val="20"/>
          <w:lang w:val="fr-FR" w:eastAsia="de-AT"/>
        </w:rPr>
      </w:pPr>
    </w:p>
    <w:p w:rsidR="003B4ED2" w:rsidRDefault="003B4ED2" w:rsidP="00893BC3">
      <w:pPr>
        <w:spacing w:line="360" w:lineRule="auto"/>
        <w:ind w:left="142" w:right="1693"/>
        <w:rPr>
          <w:rFonts w:cs="Arial"/>
          <w:szCs w:val="20"/>
          <w:lang w:val="fr-FR" w:eastAsia="de-AT"/>
        </w:rPr>
      </w:pPr>
      <w:r w:rsidRPr="003B4ED2">
        <w:rPr>
          <w:rFonts w:cs="Arial"/>
          <w:szCs w:val="20"/>
          <w:lang w:val="fr-FR" w:eastAsia="de-AT"/>
        </w:rPr>
        <w:t xml:space="preserve">LogiMAT 2018 était consacré </w:t>
      </w:r>
      <w:r w:rsidR="00753680">
        <w:rPr>
          <w:rFonts w:cs="Arial"/>
          <w:szCs w:val="20"/>
          <w:lang w:val="fr-FR" w:eastAsia="de-AT"/>
        </w:rPr>
        <w:t xml:space="preserve">au </w:t>
      </w:r>
      <w:r w:rsidRPr="003B4ED2">
        <w:rPr>
          <w:rFonts w:cs="Arial"/>
          <w:szCs w:val="20"/>
          <w:lang w:val="fr-FR" w:eastAsia="de-AT"/>
        </w:rPr>
        <w:t>Rovolution, la solution innovante de prép</w:t>
      </w:r>
      <w:r w:rsidR="00C67B00">
        <w:rPr>
          <w:rFonts w:cs="Arial"/>
          <w:szCs w:val="20"/>
          <w:lang w:val="fr-FR" w:eastAsia="de-AT"/>
        </w:rPr>
        <w:t xml:space="preserve">aration de commandes robotisée </w:t>
      </w:r>
      <w:r w:rsidRPr="003B4ED2">
        <w:rPr>
          <w:rFonts w:cs="Arial"/>
          <w:szCs w:val="20"/>
          <w:lang w:val="fr-FR" w:eastAsia="de-AT"/>
        </w:rPr>
        <w:t xml:space="preserve">présentée </w:t>
      </w:r>
      <w:r w:rsidR="00753680">
        <w:rPr>
          <w:rFonts w:cs="Arial"/>
          <w:szCs w:val="20"/>
          <w:lang w:val="fr-FR" w:eastAsia="de-AT"/>
        </w:rPr>
        <w:t>pour la p</w:t>
      </w:r>
      <w:r w:rsidRPr="003B4ED2">
        <w:rPr>
          <w:rFonts w:cs="Arial"/>
          <w:szCs w:val="20"/>
          <w:lang w:val="fr-FR" w:eastAsia="de-AT"/>
        </w:rPr>
        <w:t xml:space="preserve">remière </w:t>
      </w:r>
      <w:r w:rsidR="00753680">
        <w:rPr>
          <w:rFonts w:cs="Arial"/>
          <w:szCs w:val="20"/>
          <w:lang w:val="fr-FR" w:eastAsia="de-AT"/>
        </w:rPr>
        <w:t>fois</w:t>
      </w:r>
      <w:r w:rsidRPr="003B4ED2">
        <w:rPr>
          <w:rFonts w:cs="Arial"/>
          <w:szCs w:val="20"/>
          <w:lang w:val="fr-FR" w:eastAsia="de-AT"/>
        </w:rPr>
        <w:t xml:space="preserve"> à Stuttgart. Le rob</w:t>
      </w:r>
      <w:r w:rsidR="00753680">
        <w:rPr>
          <w:rFonts w:cs="Arial"/>
          <w:szCs w:val="20"/>
          <w:lang w:val="fr-FR" w:eastAsia="de-AT"/>
        </w:rPr>
        <w:t xml:space="preserve">ot de préparation de commandes </w:t>
      </w:r>
      <w:r w:rsidRPr="003B4ED2">
        <w:rPr>
          <w:rFonts w:cs="Arial"/>
          <w:szCs w:val="20"/>
          <w:lang w:val="fr-FR" w:eastAsia="de-AT"/>
        </w:rPr>
        <w:t>auto</w:t>
      </w:r>
      <w:r w:rsidR="00753680">
        <w:rPr>
          <w:rFonts w:cs="Arial"/>
          <w:szCs w:val="20"/>
          <w:lang w:val="fr-FR" w:eastAsia="de-AT"/>
        </w:rPr>
        <w:t>didacte</w:t>
      </w:r>
      <w:r w:rsidRPr="003B4ED2">
        <w:rPr>
          <w:rFonts w:cs="Arial"/>
          <w:szCs w:val="20"/>
          <w:lang w:val="fr-FR" w:eastAsia="de-AT"/>
        </w:rPr>
        <w:t xml:space="preserve"> a depuis été considérablement amélioré et sera bientôt mis en service par ses premiers clients. Rovolution est un élément central de</w:t>
      </w:r>
      <w:r w:rsidR="00753680">
        <w:rPr>
          <w:rFonts w:cs="Arial"/>
          <w:szCs w:val="20"/>
          <w:lang w:val="fr-FR" w:eastAsia="de-AT"/>
        </w:rPr>
        <w:t xml:space="preserve"> </w:t>
      </w:r>
      <w:r w:rsidRPr="003B4ED2">
        <w:rPr>
          <w:rFonts w:cs="Arial"/>
          <w:szCs w:val="20"/>
          <w:lang w:val="fr-FR" w:eastAsia="de-AT"/>
        </w:rPr>
        <w:t>FlashPick</w:t>
      </w:r>
      <w:r w:rsidRPr="00893BC3">
        <w:rPr>
          <w:rFonts w:cs="Arial"/>
          <w:szCs w:val="20"/>
          <w:vertAlign w:val="superscript"/>
          <w:lang w:val="fr-FR" w:eastAsia="de-AT"/>
        </w:rPr>
        <w:t>®</w:t>
      </w:r>
      <w:r w:rsidRPr="003B4ED2">
        <w:rPr>
          <w:rFonts w:cs="Arial"/>
          <w:szCs w:val="20"/>
          <w:lang w:val="fr-FR" w:eastAsia="de-AT"/>
        </w:rPr>
        <w:t xml:space="preserve"> et d'OmniPick</w:t>
      </w:r>
      <w:r w:rsidRPr="00893BC3">
        <w:rPr>
          <w:rFonts w:cs="Arial"/>
          <w:szCs w:val="20"/>
          <w:vertAlign w:val="superscript"/>
          <w:lang w:val="fr-FR" w:eastAsia="de-AT"/>
        </w:rPr>
        <w:t>®</w:t>
      </w:r>
      <w:r w:rsidR="00753680">
        <w:rPr>
          <w:rFonts w:cs="Arial"/>
          <w:szCs w:val="20"/>
          <w:lang w:val="fr-FR" w:eastAsia="de-AT"/>
        </w:rPr>
        <w:t xml:space="preserve"> qui sont respectivement </w:t>
      </w:r>
      <w:r w:rsidRPr="003B4ED2">
        <w:rPr>
          <w:rFonts w:cs="Arial"/>
          <w:szCs w:val="20"/>
          <w:lang w:val="fr-FR" w:eastAsia="de-AT"/>
        </w:rPr>
        <w:t xml:space="preserve">les solutions TGW pour la préparation automatique de </w:t>
      </w:r>
      <w:r w:rsidR="00753680">
        <w:rPr>
          <w:rFonts w:cs="Arial"/>
          <w:szCs w:val="20"/>
          <w:lang w:val="fr-FR" w:eastAsia="de-AT"/>
        </w:rPr>
        <w:t>commandes de détail</w:t>
      </w:r>
      <w:r w:rsidRPr="003B4ED2">
        <w:rPr>
          <w:rFonts w:cs="Arial"/>
          <w:szCs w:val="20"/>
          <w:lang w:val="fr-FR" w:eastAsia="de-AT"/>
        </w:rPr>
        <w:t xml:space="preserve"> et l</w:t>
      </w:r>
      <w:r w:rsidR="00753680">
        <w:rPr>
          <w:rFonts w:cs="Arial"/>
          <w:szCs w:val="20"/>
          <w:lang w:val="fr-FR" w:eastAsia="de-AT"/>
        </w:rPr>
        <w:t>e</w:t>
      </w:r>
      <w:r w:rsidRPr="003B4ED2">
        <w:rPr>
          <w:rFonts w:cs="Arial"/>
          <w:szCs w:val="20"/>
          <w:lang w:val="fr-FR" w:eastAsia="de-AT"/>
        </w:rPr>
        <w:t xml:space="preserve"> trieu</w:t>
      </w:r>
      <w:r w:rsidR="00753680">
        <w:rPr>
          <w:rFonts w:cs="Arial"/>
          <w:szCs w:val="20"/>
          <w:lang w:val="fr-FR" w:eastAsia="de-AT"/>
        </w:rPr>
        <w:t>r à</w:t>
      </w:r>
      <w:r w:rsidRPr="003B4ED2">
        <w:rPr>
          <w:rFonts w:cs="Arial"/>
          <w:szCs w:val="20"/>
          <w:lang w:val="fr-FR" w:eastAsia="de-AT"/>
        </w:rPr>
        <w:t xml:space="preserve"> poche</w:t>
      </w:r>
      <w:r w:rsidR="00753680">
        <w:rPr>
          <w:rFonts w:cs="Arial"/>
          <w:szCs w:val="20"/>
          <w:lang w:val="fr-FR" w:eastAsia="de-AT"/>
        </w:rPr>
        <w:t>ttes sans contact</w:t>
      </w:r>
      <w:r w:rsidRPr="003B4ED2">
        <w:rPr>
          <w:rFonts w:cs="Arial"/>
          <w:szCs w:val="20"/>
          <w:lang w:val="fr-FR" w:eastAsia="de-AT"/>
        </w:rPr>
        <w:t xml:space="preserve">. </w:t>
      </w:r>
      <w:r w:rsidR="00753680">
        <w:rPr>
          <w:rFonts w:cs="Arial"/>
          <w:szCs w:val="20"/>
          <w:lang w:val="fr-FR" w:eastAsia="de-AT"/>
        </w:rPr>
        <w:t>Au</w:t>
      </w:r>
      <w:r w:rsidRPr="003B4ED2">
        <w:rPr>
          <w:rFonts w:cs="Arial"/>
          <w:szCs w:val="20"/>
          <w:lang w:val="fr-FR" w:eastAsia="de-AT"/>
        </w:rPr>
        <w:t xml:space="preserve"> LogiMAT 2020, TGW pours</w:t>
      </w:r>
      <w:r w:rsidR="00753680">
        <w:rPr>
          <w:rFonts w:cs="Arial"/>
          <w:szCs w:val="20"/>
          <w:lang w:val="fr-FR" w:eastAsia="de-AT"/>
        </w:rPr>
        <w:t>uit sa progression et ajoute à s</w:t>
      </w:r>
      <w:r w:rsidRPr="003B4ED2">
        <w:rPr>
          <w:rFonts w:cs="Arial"/>
          <w:szCs w:val="20"/>
          <w:lang w:val="fr-FR" w:eastAsia="de-AT"/>
        </w:rPr>
        <w:t>a gamme de produits un jumeau numérique de Rovolution. Il s'agit d'une représentation numérique complète qui est connectée à l'installation physique en temps réel et qui grandit avec elle.</w:t>
      </w:r>
    </w:p>
    <w:p w:rsidR="0097364C" w:rsidRPr="003B4ED2" w:rsidRDefault="0097364C" w:rsidP="00893BC3">
      <w:pPr>
        <w:spacing w:line="360" w:lineRule="auto"/>
        <w:ind w:left="142" w:right="1693"/>
        <w:rPr>
          <w:rFonts w:cs="Arial"/>
          <w:szCs w:val="20"/>
          <w:lang w:val="fr-FR" w:eastAsia="de-AT"/>
        </w:rPr>
      </w:pPr>
    </w:p>
    <w:p w:rsidR="003B4ED2" w:rsidRPr="003B4ED2" w:rsidRDefault="003B4ED2" w:rsidP="00893BC3">
      <w:pPr>
        <w:spacing w:line="360" w:lineRule="auto"/>
        <w:ind w:left="142" w:right="1693"/>
        <w:rPr>
          <w:rFonts w:cs="Arial"/>
          <w:szCs w:val="20"/>
          <w:lang w:val="fr-FR" w:eastAsia="de-AT"/>
        </w:rPr>
      </w:pPr>
      <w:r w:rsidRPr="003B4ED2">
        <w:rPr>
          <w:rFonts w:cs="Arial"/>
          <w:szCs w:val="20"/>
          <w:lang w:val="fr-FR" w:eastAsia="de-AT"/>
        </w:rPr>
        <w:t>Le jumeau numérique rend l</w:t>
      </w:r>
      <w:r w:rsidR="00670283">
        <w:rPr>
          <w:rFonts w:cs="Arial"/>
          <w:szCs w:val="20"/>
          <w:lang w:val="fr-FR" w:eastAsia="de-AT"/>
        </w:rPr>
        <w:t>’état du robot</w:t>
      </w:r>
      <w:r w:rsidRPr="003B4ED2">
        <w:rPr>
          <w:rFonts w:cs="Arial"/>
          <w:szCs w:val="20"/>
          <w:lang w:val="fr-FR" w:eastAsia="de-AT"/>
        </w:rPr>
        <w:t xml:space="preserve"> visible, compréhensible et prévisible. Avec son aide, vous pouvez analyser les données, en tirer des enseignements et les visualiser dans des modèles 3D. Cela signifie que non seulement l'état </w:t>
      </w:r>
      <w:r w:rsidR="00670283">
        <w:rPr>
          <w:rFonts w:cs="Arial"/>
          <w:szCs w:val="20"/>
          <w:lang w:val="fr-FR" w:eastAsia="de-AT"/>
        </w:rPr>
        <w:t xml:space="preserve">en temps réel </w:t>
      </w:r>
      <w:r w:rsidRPr="003B4ED2">
        <w:rPr>
          <w:rFonts w:cs="Arial"/>
          <w:szCs w:val="20"/>
          <w:lang w:val="fr-FR" w:eastAsia="de-AT"/>
        </w:rPr>
        <w:t xml:space="preserve">de Rovolution peut être </w:t>
      </w:r>
      <w:r w:rsidR="00670283" w:rsidRPr="003B4ED2">
        <w:rPr>
          <w:rFonts w:cs="Arial"/>
          <w:szCs w:val="20"/>
          <w:lang w:val="fr-FR" w:eastAsia="de-AT"/>
        </w:rPr>
        <w:t>observé</w:t>
      </w:r>
      <w:r w:rsidRPr="003B4ED2">
        <w:rPr>
          <w:rFonts w:cs="Arial"/>
          <w:szCs w:val="20"/>
          <w:lang w:val="fr-FR" w:eastAsia="de-AT"/>
        </w:rPr>
        <w:t>, mais qu'avec une fonction de relecture, vous pouvez également regarder le passé afin de détecter les causes d'événements inattendus. En outre, il sera possible de se tourner vers l'avenir, par exemple pour prévoir quand certaines tâches de maintenance d</w:t>
      </w:r>
      <w:r w:rsidR="006A209B">
        <w:rPr>
          <w:rFonts w:cs="Arial"/>
          <w:szCs w:val="20"/>
          <w:lang w:val="fr-FR" w:eastAsia="de-AT"/>
        </w:rPr>
        <w:t>evront</w:t>
      </w:r>
      <w:r w:rsidRPr="003B4ED2">
        <w:rPr>
          <w:rFonts w:cs="Arial"/>
          <w:szCs w:val="20"/>
          <w:lang w:val="fr-FR" w:eastAsia="de-AT"/>
        </w:rPr>
        <w:t xml:space="preserve"> être effectuées. Les utilisateurs bénéficient de données de performance en temps réel et d'une productivité accrue.</w:t>
      </w:r>
    </w:p>
    <w:p w:rsidR="003B4ED2" w:rsidRPr="003B4ED2" w:rsidRDefault="003B4ED2" w:rsidP="00893BC3">
      <w:pPr>
        <w:spacing w:line="360" w:lineRule="auto"/>
        <w:ind w:left="142" w:right="1693"/>
        <w:rPr>
          <w:rFonts w:cs="Arial"/>
          <w:szCs w:val="20"/>
          <w:lang w:val="fr-FR" w:eastAsia="de-AT"/>
        </w:rPr>
      </w:pPr>
    </w:p>
    <w:p w:rsidR="003B4ED2" w:rsidRPr="003B4ED2" w:rsidRDefault="003B4ED2" w:rsidP="00893BC3">
      <w:pPr>
        <w:spacing w:line="360" w:lineRule="auto"/>
        <w:ind w:left="142" w:right="1693"/>
        <w:rPr>
          <w:rFonts w:cs="Arial"/>
          <w:szCs w:val="20"/>
          <w:lang w:val="fr-FR" w:eastAsia="de-AT"/>
        </w:rPr>
      </w:pPr>
      <w:r w:rsidRPr="003B4ED2">
        <w:rPr>
          <w:rFonts w:cs="Arial"/>
          <w:szCs w:val="20"/>
          <w:lang w:val="fr-FR" w:eastAsia="de-AT"/>
        </w:rPr>
        <w:t xml:space="preserve">L'accent mis sur le numérique comprend également une plateforme complète pour les centres de traitement en réseau qui donne aux clients une vue d'ensemble du système </w:t>
      </w:r>
      <w:r w:rsidR="00670283">
        <w:rPr>
          <w:rFonts w:cs="Arial"/>
          <w:szCs w:val="20"/>
          <w:lang w:val="fr-FR" w:eastAsia="de-AT"/>
        </w:rPr>
        <w:t xml:space="preserve">dans sa globalité </w:t>
      </w:r>
      <w:r w:rsidRPr="003B4ED2">
        <w:rPr>
          <w:rFonts w:cs="Arial"/>
          <w:szCs w:val="20"/>
          <w:lang w:val="fr-FR" w:eastAsia="de-AT"/>
        </w:rPr>
        <w:t>et constitue la base de divers outils et services d'évaluation. En outre, TGW propose des ateliers de potentiel numérique dans lesquels les processus sont analysés sur place chez le client. Cette collaboration permet d'obtenir des informations dans une perspective de numérisation.</w:t>
      </w:r>
    </w:p>
    <w:p w:rsidR="003B4ED2" w:rsidRPr="003B4ED2" w:rsidRDefault="003B4ED2" w:rsidP="00893BC3">
      <w:pPr>
        <w:spacing w:line="360" w:lineRule="auto"/>
        <w:ind w:left="142" w:right="1693"/>
        <w:rPr>
          <w:rFonts w:cs="Arial"/>
          <w:szCs w:val="20"/>
          <w:lang w:val="fr-FR" w:eastAsia="de-AT"/>
        </w:rPr>
      </w:pPr>
    </w:p>
    <w:p w:rsidR="003B4ED2" w:rsidRPr="003B4ED2" w:rsidRDefault="003B4ED2" w:rsidP="00893BC3">
      <w:pPr>
        <w:spacing w:line="360" w:lineRule="auto"/>
        <w:ind w:left="142" w:right="1693"/>
        <w:rPr>
          <w:rFonts w:cs="Arial"/>
          <w:b/>
          <w:szCs w:val="20"/>
          <w:lang w:val="fr-FR" w:eastAsia="de-AT"/>
        </w:rPr>
      </w:pPr>
      <w:r w:rsidRPr="003B4ED2">
        <w:rPr>
          <w:rFonts w:cs="Arial"/>
          <w:b/>
          <w:szCs w:val="20"/>
          <w:lang w:val="fr-FR" w:eastAsia="de-AT"/>
        </w:rPr>
        <w:t>Les données intralogistiques dans une seule application</w:t>
      </w:r>
    </w:p>
    <w:p w:rsidR="003B4ED2" w:rsidRPr="003B4ED2" w:rsidRDefault="003B4ED2" w:rsidP="00893BC3">
      <w:pPr>
        <w:spacing w:line="360" w:lineRule="auto"/>
        <w:ind w:left="142" w:right="1693"/>
        <w:rPr>
          <w:rFonts w:cs="Arial"/>
          <w:szCs w:val="20"/>
          <w:lang w:val="fr-FR" w:eastAsia="de-AT"/>
        </w:rPr>
      </w:pPr>
    </w:p>
    <w:p w:rsidR="003B4ED2" w:rsidRPr="003B4ED2" w:rsidRDefault="003B4ED2" w:rsidP="00893BC3">
      <w:pPr>
        <w:spacing w:line="360" w:lineRule="auto"/>
        <w:ind w:left="142" w:right="1693"/>
        <w:rPr>
          <w:rFonts w:cs="Arial"/>
          <w:szCs w:val="20"/>
          <w:lang w:val="fr-FR" w:eastAsia="de-AT"/>
        </w:rPr>
      </w:pPr>
      <w:r w:rsidRPr="003B4ED2">
        <w:rPr>
          <w:rFonts w:cs="Arial"/>
          <w:szCs w:val="20"/>
          <w:lang w:val="fr-FR" w:eastAsia="de-AT"/>
        </w:rPr>
        <w:t xml:space="preserve">La base de la numérisation est constituée par les données - qui doivent être collectées, structurées et interprétées. En tant qu'intégrateur de systèmes, TGW peut offrir à ses clients un avantage décisif dans ce domaine. Contrairement aux spécialistes </w:t>
      </w:r>
      <w:r w:rsidR="00C67B00">
        <w:rPr>
          <w:rFonts w:cs="Arial"/>
          <w:szCs w:val="20"/>
          <w:lang w:val="fr-FR" w:eastAsia="de-AT"/>
        </w:rPr>
        <w:t>de</w:t>
      </w:r>
      <w:r w:rsidRPr="003B4ED2">
        <w:rPr>
          <w:rFonts w:cs="Arial"/>
          <w:szCs w:val="20"/>
          <w:lang w:val="fr-FR" w:eastAsia="de-AT"/>
        </w:rPr>
        <w:t xml:space="preserve"> logiciel</w:t>
      </w:r>
      <w:r w:rsidR="00C67B00">
        <w:rPr>
          <w:rFonts w:cs="Arial"/>
          <w:szCs w:val="20"/>
          <w:lang w:val="fr-FR" w:eastAsia="de-AT"/>
        </w:rPr>
        <w:t>s</w:t>
      </w:r>
      <w:r w:rsidRPr="003B4ED2">
        <w:rPr>
          <w:rFonts w:cs="Arial"/>
          <w:szCs w:val="20"/>
          <w:lang w:val="fr-FR" w:eastAsia="de-AT"/>
        </w:rPr>
        <w:t xml:space="preserve"> pur</w:t>
      </w:r>
      <w:r w:rsidR="00C67B00">
        <w:rPr>
          <w:rFonts w:cs="Arial"/>
          <w:szCs w:val="20"/>
          <w:lang w:val="fr-FR" w:eastAsia="de-AT"/>
        </w:rPr>
        <w:t>s</w:t>
      </w:r>
      <w:r w:rsidRPr="003B4ED2">
        <w:rPr>
          <w:rFonts w:cs="Arial"/>
          <w:szCs w:val="20"/>
          <w:lang w:val="fr-FR" w:eastAsia="de-AT"/>
        </w:rPr>
        <w:t>, TGW planifie et construit des systèmes très complexes en plus de produire tous les composants mécatroniques. Cela permet au spécialiste de l'intralogistique de rassembler les données de toutes les applicati</w:t>
      </w:r>
      <w:bookmarkStart w:id="0" w:name="_GoBack"/>
      <w:bookmarkEnd w:id="0"/>
      <w:r w:rsidRPr="003B4ED2">
        <w:rPr>
          <w:rFonts w:cs="Arial"/>
          <w:szCs w:val="20"/>
          <w:lang w:val="fr-FR" w:eastAsia="de-AT"/>
        </w:rPr>
        <w:t>ons, produits et solutions, de les afficher et de les relier de manière exhaustive dans un système uniforme.</w:t>
      </w:r>
    </w:p>
    <w:p w:rsidR="003B4ED2" w:rsidRPr="003B4ED2" w:rsidRDefault="003B4ED2" w:rsidP="00893BC3">
      <w:pPr>
        <w:spacing w:line="360" w:lineRule="auto"/>
        <w:ind w:left="142" w:right="1693"/>
        <w:rPr>
          <w:rFonts w:cs="Arial"/>
          <w:szCs w:val="20"/>
          <w:lang w:val="fr-FR" w:eastAsia="de-AT"/>
        </w:rPr>
      </w:pPr>
    </w:p>
    <w:p w:rsidR="003B4ED2" w:rsidRPr="003B4ED2" w:rsidRDefault="003B4ED2" w:rsidP="00893BC3">
      <w:pPr>
        <w:spacing w:line="360" w:lineRule="auto"/>
        <w:ind w:left="142" w:right="1693"/>
        <w:rPr>
          <w:rFonts w:cs="Arial"/>
          <w:szCs w:val="20"/>
          <w:lang w:val="fr-FR" w:eastAsia="de-AT"/>
        </w:rPr>
      </w:pPr>
      <w:r w:rsidRPr="003B4ED2">
        <w:rPr>
          <w:rFonts w:cs="Arial"/>
          <w:szCs w:val="20"/>
          <w:lang w:val="fr-FR" w:eastAsia="de-AT"/>
        </w:rPr>
        <w:t>Les technologies d'intelligence artificielle jouent un rôle essentiel à cet égard. Elles permettent de comprendre des informations très complexes et de faire des prévisions pour des scénarios futurs. Cela nous met à portée de systèmes intralogistiques en réseau dans un avenir proche qui ont une</w:t>
      </w:r>
      <w:r w:rsidR="007E18CD">
        <w:rPr>
          <w:rFonts w:cs="Arial"/>
          <w:szCs w:val="20"/>
          <w:lang w:val="fr-FR" w:eastAsia="de-AT"/>
        </w:rPr>
        <w:t xml:space="preserve"> capacité d'auto-optimisation – avec </w:t>
      </w:r>
      <w:r w:rsidRPr="003B4ED2">
        <w:rPr>
          <w:rFonts w:cs="Arial"/>
          <w:szCs w:val="20"/>
          <w:lang w:val="fr-FR" w:eastAsia="de-AT"/>
        </w:rPr>
        <w:t>un potentiel énorme pour l'ensemble de l'industrie.</w:t>
      </w:r>
    </w:p>
    <w:p w:rsidR="003B4ED2" w:rsidRPr="003B4ED2" w:rsidRDefault="003B4ED2" w:rsidP="00893BC3">
      <w:pPr>
        <w:spacing w:line="360" w:lineRule="auto"/>
        <w:ind w:left="142"/>
        <w:rPr>
          <w:rFonts w:cs="Arial"/>
          <w:szCs w:val="20"/>
          <w:lang w:val="fr-FR" w:eastAsia="de-AT"/>
        </w:rPr>
      </w:pPr>
    </w:p>
    <w:p w:rsidR="003B4ED2" w:rsidRPr="003B4ED2" w:rsidRDefault="003B4ED2" w:rsidP="00893BC3">
      <w:pPr>
        <w:spacing w:line="360" w:lineRule="auto"/>
        <w:ind w:left="142"/>
        <w:rPr>
          <w:rFonts w:cs="Arial"/>
          <w:szCs w:val="20"/>
          <w:lang w:val="fr-FR" w:eastAsia="de-AT"/>
        </w:rPr>
      </w:pPr>
    </w:p>
    <w:p w:rsidR="003B4ED2" w:rsidRPr="0097364C" w:rsidRDefault="003B4ED2" w:rsidP="00893BC3">
      <w:pPr>
        <w:spacing w:line="360" w:lineRule="auto"/>
        <w:ind w:left="142"/>
        <w:rPr>
          <w:rFonts w:cs="Arial"/>
          <w:b/>
          <w:szCs w:val="20"/>
          <w:lang w:val="fr-FR" w:eastAsia="de-AT"/>
        </w:rPr>
      </w:pPr>
      <w:r w:rsidRPr="0097364C">
        <w:rPr>
          <w:rFonts w:cs="Arial"/>
          <w:b/>
          <w:szCs w:val="20"/>
          <w:lang w:val="fr-FR" w:eastAsia="de-AT"/>
        </w:rPr>
        <w:t>Visitez le TGW au LogiMAT 2020</w:t>
      </w:r>
    </w:p>
    <w:p w:rsidR="003B4ED2" w:rsidRPr="00435FDF" w:rsidRDefault="003B4ED2" w:rsidP="00893BC3">
      <w:pPr>
        <w:spacing w:line="360" w:lineRule="auto"/>
        <w:ind w:left="142"/>
        <w:rPr>
          <w:rFonts w:cs="Arial"/>
          <w:szCs w:val="20"/>
          <w:lang w:val="en-US" w:eastAsia="de-AT"/>
        </w:rPr>
      </w:pPr>
      <w:r w:rsidRPr="00435FDF">
        <w:rPr>
          <w:rFonts w:cs="Arial"/>
          <w:szCs w:val="20"/>
          <w:lang w:val="en-US" w:eastAsia="de-AT"/>
        </w:rPr>
        <w:t>Hall 5, stand C61</w:t>
      </w:r>
    </w:p>
    <w:p w:rsidR="003B4ED2" w:rsidRPr="00435FDF" w:rsidRDefault="003B4ED2" w:rsidP="003B4ED2">
      <w:pPr>
        <w:ind w:left="142"/>
        <w:rPr>
          <w:rFonts w:cs="Arial"/>
          <w:szCs w:val="20"/>
          <w:lang w:val="en-US" w:eastAsia="de-AT"/>
        </w:rPr>
      </w:pPr>
    </w:p>
    <w:p w:rsidR="005E362F" w:rsidRPr="00435FDF" w:rsidRDefault="005E362F" w:rsidP="005E362F">
      <w:pPr>
        <w:spacing w:line="240" w:lineRule="auto"/>
        <w:ind w:left="0" w:right="276"/>
        <w:rPr>
          <w:rFonts w:cs="Arial"/>
          <w:szCs w:val="20"/>
          <w:lang w:val="en-US"/>
        </w:rPr>
      </w:pPr>
    </w:p>
    <w:p w:rsidR="00560A7A" w:rsidRPr="00435FDF" w:rsidRDefault="007E18CD" w:rsidP="0097364C">
      <w:pPr>
        <w:spacing w:line="240" w:lineRule="auto"/>
        <w:ind w:left="0" w:right="1693"/>
        <w:rPr>
          <w:rStyle w:val="Hyperlink"/>
          <w:rFonts w:cs="Arial"/>
          <w:color w:val="auto"/>
          <w:u w:val="none"/>
          <w:lang w:val="en-US"/>
        </w:rPr>
      </w:pPr>
      <w:hyperlink r:id="rId8" w:history="1">
        <w:r w:rsidR="00560A7A" w:rsidRPr="00435FDF">
          <w:rPr>
            <w:rStyle w:val="Hyperlink"/>
            <w:rFonts w:cs="Arial"/>
            <w:lang w:val="en-US"/>
          </w:rPr>
          <w:t>www.tgw-group.com</w:t>
        </w:r>
      </w:hyperlink>
      <w:r w:rsidR="00560A7A" w:rsidRPr="00435FDF">
        <w:rPr>
          <w:rStyle w:val="Hyperlink"/>
          <w:rFonts w:cs="Arial"/>
          <w:color w:val="auto"/>
          <w:u w:val="none"/>
          <w:lang w:val="en-US"/>
        </w:rPr>
        <w:br/>
      </w:r>
    </w:p>
    <w:p w:rsidR="00167C23" w:rsidRPr="00EF3956" w:rsidRDefault="00167C23" w:rsidP="0097364C">
      <w:pPr>
        <w:pStyle w:val="StandardWeb"/>
        <w:shd w:val="clear" w:color="auto" w:fill="FFFFFF"/>
        <w:spacing w:before="0" w:beforeAutospacing="0" w:after="0" w:afterAutospacing="0" w:line="360" w:lineRule="auto"/>
        <w:ind w:right="1693"/>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Default="00167C23" w:rsidP="0097364C">
      <w:pPr>
        <w:shd w:val="clear" w:color="auto" w:fill="FFFFFF"/>
        <w:spacing w:line="240" w:lineRule="auto"/>
        <w:ind w:left="0" w:right="1693"/>
        <w:rPr>
          <w:rFonts w:eastAsia="Times New Roman" w:cs="Arial"/>
          <w:szCs w:val="20"/>
          <w:lang w:val="fr-FR" w:eastAsia="fr-FR"/>
        </w:rPr>
      </w:pPr>
      <w:r w:rsidRPr="00EF3956">
        <w:rPr>
          <w:rFonts w:eastAsia="Times New Roman" w:cs="Arial"/>
          <w:szCs w:val="20"/>
          <w:lang w:val="fr-FR" w:eastAsia="fr-FR"/>
        </w:rPr>
        <w:t xml:space="preserve">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w:t>
      </w:r>
      <w:proofErr w:type="gramStart"/>
      <w:r w:rsidRPr="00EF3956">
        <w:rPr>
          <w:rFonts w:eastAsia="Times New Roman" w:cs="Arial"/>
          <w:szCs w:val="20"/>
          <w:lang w:val="fr-FR" w:eastAsia="fr-FR"/>
        </w:rPr>
        <w:t>de</w:t>
      </w:r>
      <w:r w:rsidR="00CA3B88">
        <w:rPr>
          <w:rFonts w:eastAsia="Times New Roman" w:cs="Arial"/>
          <w:szCs w:val="20"/>
          <w:lang w:val="fr-FR" w:eastAsia="fr-FR"/>
        </w:rPr>
        <w:t xml:space="preserve"> </w:t>
      </w:r>
      <w:r w:rsidRPr="00EF3956">
        <w:rPr>
          <w:rFonts w:eastAsia="Times New Roman" w:cs="Arial"/>
          <w:szCs w:val="20"/>
          <w:lang w:val="fr-FR" w:eastAsia="fr-FR"/>
        </w:rPr>
        <w:t>A</w:t>
      </w:r>
      <w:proofErr w:type="gramEnd"/>
      <w:r w:rsidRPr="00EF3956">
        <w:rPr>
          <w:rFonts w:eastAsia="Times New Roman" w:cs="Arial"/>
          <w:szCs w:val="20"/>
          <w:lang w:val="fr-FR" w:eastAsia="fr-FR"/>
        </w:rPr>
        <w:t xml:space="preserve"> comme Adidas à Z comme Zalando. </w:t>
      </w:r>
    </w:p>
    <w:p w:rsidR="00670283" w:rsidRPr="00EF3956" w:rsidRDefault="00670283" w:rsidP="0097364C">
      <w:pPr>
        <w:shd w:val="clear" w:color="auto" w:fill="FFFFFF"/>
        <w:spacing w:line="240" w:lineRule="auto"/>
        <w:ind w:left="0" w:right="1693"/>
        <w:rPr>
          <w:rFonts w:eastAsia="Times New Roman" w:cs="Arial"/>
          <w:szCs w:val="20"/>
          <w:lang w:val="fr-FR" w:eastAsia="fr-FR"/>
        </w:rPr>
      </w:pPr>
    </w:p>
    <w:p w:rsidR="00167C23" w:rsidRPr="00EF3956" w:rsidRDefault="00670283" w:rsidP="0097364C">
      <w:pPr>
        <w:shd w:val="clear" w:color="auto" w:fill="FFFFFF"/>
        <w:spacing w:line="240" w:lineRule="auto"/>
        <w:ind w:left="0" w:right="1693"/>
        <w:rPr>
          <w:rFonts w:eastAsia="Times New Roman" w:cs="Arial"/>
          <w:szCs w:val="20"/>
          <w:lang w:val="fr-FR" w:eastAsia="fr-FR"/>
        </w:rPr>
      </w:pPr>
      <w:r>
        <w:rPr>
          <w:rFonts w:eastAsia="Times New Roman" w:cs="Arial"/>
          <w:szCs w:val="20"/>
          <w:lang w:val="fr-FR" w:eastAsia="fr-FR"/>
        </w:rPr>
        <w:t>Avec près de 3 5</w:t>
      </w:r>
      <w:r w:rsidR="00167C23" w:rsidRPr="00EF3956">
        <w:rPr>
          <w:rFonts w:eastAsia="Times New Roman" w:cs="Arial"/>
          <w:szCs w:val="20"/>
          <w:lang w:val="fr-FR" w:eastAsia="fr-FR"/>
        </w:rPr>
        <w:t>00 employés, TGW Logistics Group fabrique en Autriche et dispose de filiales en Europe, en Chine et aux Etats-Unis. Au cours de l'exercice 201</w:t>
      </w:r>
      <w:r>
        <w:rPr>
          <w:rFonts w:eastAsia="Times New Roman" w:cs="Arial"/>
          <w:szCs w:val="20"/>
          <w:lang w:val="fr-FR" w:eastAsia="fr-FR"/>
        </w:rPr>
        <w:t>8</w:t>
      </w:r>
      <w:r w:rsidR="00167C23" w:rsidRPr="00EF3956">
        <w:rPr>
          <w:rFonts w:eastAsia="Times New Roman" w:cs="Arial"/>
          <w:szCs w:val="20"/>
          <w:lang w:val="fr-FR" w:eastAsia="fr-FR"/>
        </w:rPr>
        <w:t>/201</w:t>
      </w:r>
      <w:r>
        <w:rPr>
          <w:rFonts w:eastAsia="Times New Roman" w:cs="Arial"/>
          <w:szCs w:val="20"/>
          <w:lang w:val="fr-FR" w:eastAsia="fr-FR"/>
        </w:rPr>
        <w:t>9</w:t>
      </w:r>
      <w:r w:rsidR="00167C23" w:rsidRPr="00EF3956">
        <w:rPr>
          <w:rFonts w:eastAsia="Times New Roman" w:cs="Arial"/>
          <w:szCs w:val="20"/>
          <w:lang w:val="fr-FR" w:eastAsia="fr-FR"/>
        </w:rPr>
        <w:t xml:space="preserve">, TGW Logistics Group a réalisé un chiffre d'affaires de </w:t>
      </w:r>
      <w:r w:rsidR="0097364C">
        <w:rPr>
          <w:rFonts w:eastAsia="Times New Roman" w:cs="Arial"/>
          <w:szCs w:val="20"/>
          <w:lang w:val="fr-FR" w:eastAsia="fr-FR"/>
        </w:rPr>
        <w:t>719,6</w:t>
      </w:r>
      <w:r w:rsidR="00167C23" w:rsidRPr="00EF3956">
        <w:rPr>
          <w:rFonts w:eastAsia="Times New Roman" w:cs="Arial"/>
          <w:szCs w:val="20"/>
          <w:lang w:val="fr-FR" w:eastAsia="fr-FR"/>
        </w:rPr>
        <w:t xml:space="preserve"> millions d'euros.</w:t>
      </w:r>
    </w:p>
    <w:p w:rsidR="00167C23" w:rsidRPr="00EF3956" w:rsidRDefault="00167C23" w:rsidP="0097364C">
      <w:pPr>
        <w:spacing w:line="240" w:lineRule="auto"/>
        <w:ind w:left="0" w:right="1693"/>
        <w:rPr>
          <w:rFonts w:cs="Arial"/>
          <w:szCs w:val="20"/>
          <w:lang w:val="fr-FR"/>
        </w:rPr>
      </w:pPr>
    </w:p>
    <w:p w:rsidR="00167C23" w:rsidRPr="00EF3956" w:rsidRDefault="00167C23" w:rsidP="0097364C">
      <w:pPr>
        <w:spacing w:line="240" w:lineRule="auto"/>
        <w:ind w:left="0" w:right="1693"/>
        <w:rPr>
          <w:rFonts w:cs="Arial"/>
          <w:b/>
          <w:szCs w:val="20"/>
          <w:lang w:val="fr-FR"/>
        </w:rPr>
      </w:pPr>
      <w:r w:rsidRPr="00EF3956">
        <w:rPr>
          <w:rFonts w:cs="Arial"/>
          <w:b/>
          <w:szCs w:val="20"/>
          <w:lang w:val="fr-FR"/>
        </w:rPr>
        <w:t>Photos :</w:t>
      </w:r>
    </w:p>
    <w:p w:rsidR="00167C23" w:rsidRPr="00EF3956" w:rsidRDefault="00167C23" w:rsidP="0097364C">
      <w:pPr>
        <w:spacing w:line="240" w:lineRule="auto"/>
        <w:ind w:left="0" w:right="1693"/>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97364C">
      <w:pPr>
        <w:spacing w:line="240" w:lineRule="auto"/>
        <w:ind w:left="0" w:right="1693"/>
        <w:rPr>
          <w:rFonts w:cs="Arial"/>
          <w:szCs w:val="20"/>
          <w:lang w:val="fr-FR"/>
        </w:rPr>
      </w:pPr>
    </w:p>
    <w:p w:rsidR="00167C23" w:rsidRDefault="00167C23" w:rsidP="0097364C">
      <w:pPr>
        <w:spacing w:line="240" w:lineRule="auto"/>
        <w:ind w:left="0" w:right="1693"/>
        <w:rPr>
          <w:rFonts w:cs="Arial"/>
          <w:b/>
          <w:szCs w:val="20"/>
          <w:lang w:val="en-US"/>
        </w:rPr>
      </w:pPr>
      <w:r w:rsidRPr="00EF3956">
        <w:rPr>
          <w:rFonts w:cs="Arial"/>
          <w:b/>
          <w:szCs w:val="20"/>
          <w:lang w:val="en-US"/>
        </w:rPr>
        <w:t>Contact</w:t>
      </w:r>
    </w:p>
    <w:p w:rsidR="00893BC3" w:rsidRPr="0097364C" w:rsidRDefault="00893BC3" w:rsidP="00893BC3">
      <w:pPr>
        <w:spacing w:line="240" w:lineRule="auto"/>
        <w:ind w:left="0" w:right="1693"/>
        <w:rPr>
          <w:rFonts w:cs="Arial"/>
          <w:szCs w:val="20"/>
          <w:lang w:val="en-AU"/>
        </w:rPr>
      </w:pPr>
      <w:r w:rsidRPr="0097364C">
        <w:rPr>
          <w:rFonts w:cs="Arial"/>
          <w:szCs w:val="20"/>
          <w:lang w:val="en-AU"/>
        </w:rPr>
        <w:t>Alexander Tahedl</w:t>
      </w:r>
    </w:p>
    <w:p w:rsidR="00893BC3" w:rsidRPr="00EF3956" w:rsidRDefault="00893BC3" w:rsidP="00893BC3">
      <w:pPr>
        <w:spacing w:line="240" w:lineRule="auto"/>
        <w:ind w:left="0" w:right="1693"/>
        <w:rPr>
          <w:rFonts w:cs="Arial"/>
          <w:szCs w:val="20"/>
          <w:lang w:val="en-US"/>
        </w:rPr>
      </w:pPr>
      <w:r>
        <w:rPr>
          <w:rFonts w:cs="Arial"/>
          <w:szCs w:val="20"/>
          <w:lang w:val="en-US"/>
        </w:rPr>
        <w:t>Communications</w:t>
      </w:r>
      <w:r w:rsidRPr="00EF3956">
        <w:rPr>
          <w:rFonts w:cs="Arial"/>
          <w:szCs w:val="20"/>
          <w:lang w:val="en-US"/>
        </w:rPr>
        <w:t xml:space="preserve"> Specialist</w:t>
      </w:r>
    </w:p>
    <w:p w:rsidR="00893BC3" w:rsidRPr="00EF3956" w:rsidRDefault="00893BC3" w:rsidP="00893BC3">
      <w:pPr>
        <w:spacing w:line="240" w:lineRule="auto"/>
        <w:ind w:left="0" w:right="1693"/>
        <w:rPr>
          <w:rFonts w:cs="Arial"/>
          <w:szCs w:val="20"/>
          <w:lang w:val="en-US"/>
        </w:rPr>
      </w:pPr>
      <w:r w:rsidRPr="00EF3956">
        <w:rPr>
          <w:rFonts w:cs="Arial"/>
          <w:szCs w:val="20"/>
          <w:lang w:val="en-US"/>
        </w:rPr>
        <w:t>T: +43</w:t>
      </w:r>
      <w:proofErr w:type="gramStart"/>
      <w:r w:rsidRPr="00EF3956">
        <w:rPr>
          <w:rFonts w:cs="Arial"/>
          <w:szCs w:val="20"/>
          <w:lang w:val="en-US"/>
        </w:rPr>
        <w:t>.(</w:t>
      </w:r>
      <w:proofErr w:type="gramEnd"/>
      <w:r w:rsidRPr="00EF3956">
        <w:rPr>
          <w:rFonts w:cs="Arial"/>
          <w:szCs w:val="20"/>
          <w:lang w:val="en-US"/>
        </w:rPr>
        <w:t>0)50.486-2267</w:t>
      </w:r>
    </w:p>
    <w:p w:rsidR="00893BC3" w:rsidRPr="00EF3956" w:rsidRDefault="00893BC3" w:rsidP="00893BC3">
      <w:pPr>
        <w:spacing w:line="240" w:lineRule="auto"/>
        <w:ind w:left="0" w:right="1693"/>
        <w:rPr>
          <w:rStyle w:val="Hyperlink"/>
          <w:rFonts w:cs="Arial"/>
          <w:color w:val="auto"/>
          <w:szCs w:val="20"/>
          <w:u w:val="none"/>
          <w:lang w:val="en-US"/>
        </w:rPr>
      </w:pPr>
      <w:r w:rsidRPr="00EF3956">
        <w:rPr>
          <w:rFonts w:cs="Arial"/>
          <w:szCs w:val="20"/>
          <w:lang w:val="en-US"/>
        </w:rPr>
        <w:t>alexander.tahedl@tgw-group.com</w:t>
      </w:r>
    </w:p>
    <w:p w:rsidR="0097364C" w:rsidRDefault="0097364C" w:rsidP="0097364C">
      <w:pPr>
        <w:spacing w:line="240" w:lineRule="auto"/>
        <w:ind w:left="0" w:right="1693"/>
        <w:rPr>
          <w:rFonts w:cs="Arial"/>
          <w:b/>
          <w:szCs w:val="20"/>
          <w:lang w:val="en-US"/>
        </w:rPr>
      </w:pPr>
    </w:p>
    <w:p w:rsidR="0097364C" w:rsidRDefault="0097364C" w:rsidP="0097364C">
      <w:pPr>
        <w:spacing w:line="240" w:lineRule="auto"/>
        <w:ind w:left="0" w:right="1693"/>
        <w:rPr>
          <w:rFonts w:cs="Arial"/>
          <w:b/>
          <w:szCs w:val="20"/>
          <w:lang w:val="en-US"/>
        </w:rPr>
      </w:pPr>
    </w:p>
    <w:p w:rsidR="0097364C" w:rsidRPr="00EF3956" w:rsidRDefault="0097364C" w:rsidP="0097364C">
      <w:pPr>
        <w:spacing w:line="240" w:lineRule="auto"/>
        <w:ind w:left="0" w:right="1693"/>
        <w:rPr>
          <w:rFonts w:cs="Arial"/>
          <w:b/>
          <w:szCs w:val="20"/>
          <w:lang w:val="en-US"/>
        </w:rPr>
      </w:pPr>
    </w:p>
    <w:p w:rsidR="00167C23" w:rsidRPr="00EF3956" w:rsidRDefault="00167C23" w:rsidP="0097364C">
      <w:pPr>
        <w:spacing w:line="240" w:lineRule="auto"/>
        <w:ind w:left="0" w:right="1693"/>
        <w:rPr>
          <w:rFonts w:cs="Arial"/>
          <w:szCs w:val="20"/>
          <w:lang w:val="en-US"/>
        </w:rPr>
      </w:pPr>
      <w:r w:rsidRPr="00EF3956">
        <w:rPr>
          <w:rFonts w:cs="Arial"/>
          <w:szCs w:val="20"/>
          <w:lang w:val="en-US"/>
        </w:rPr>
        <w:t>Martin Kirchmayr</w:t>
      </w:r>
    </w:p>
    <w:p w:rsidR="00167C23" w:rsidRPr="00EF3956" w:rsidRDefault="00167C23" w:rsidP="0097364C">
      <w:pPr>
        <w:spacing w:line="240" w:lineRule="auto"/>
        <w:ind w:left="0" w:right="1693"/>
        <w:rPr>
          <w:rFonts w:cs="Arial"/>
          <w:szCs w:val="20"/>
          <w:lang w:val="en-US"/>
        </w:rPr>
      </w:pPr>
      <w:r w:rsidRPr="00EF3956">
        <w:rPr>
          <w:rFonts w:cs="Arial"/>
          <w:szCs w:val="20"/>
          <w:lang w:val="en-US"/>
        </w:rPr>
        <w:t>Director Marketing &amp; Communication</w:t>
      </w:r>
    </w:p>
    <w:p w:rsidR="00167C23" w:rsidRPr="00EF3956" w:rsidRDefault="00167C23" w:rsidP="0097364C">
      <w:pPr>
        <w:spacing w:line="240" w:lineRule="auto"/>
        <w:ind w:left="0" w:right="1693"/>
        <w:rPr>
          <w:rFonts w:cs="Arial"/>
          <w:szCs w:val="20"/>
        </w:rPr>
      </w:pPr>
      <w:r w:rsidRPr="00EF3956">
        <w:rPr>
          <w:rFonts w:cs="Arial"/>
          <w:szCs w:val="20"/>
        </w:rPr>
        <w:t>T: +43.(0)50.486-1382</w:t>
      </w:r>
    </w:p>
    <w:p w:rsidR="00167C23" w:rsidRPr="00EF3956" w:rsidRDefault="00167C23" w:rsidP="0097364C">
      <w:pPr>
        <w:spacing w:line="240" w:lineRule="auto"/>
        <w:ind w:left="0" w:right="1693"/>
        <w:rPr>
          <w:rFonts w:cs="Arial"/>
          <w:szCs w:val="20"/>
        </w:rPr>
      </w:pPr>
      <w:r w:rsidRPr="00EF3956">
        <w:rPr>
          <w:rFonts w:cs="Arial"/>
          <w:szCs w:val="20"/>
        </w:rPr>
        <w:t>M: +43.(0)664.8187423</w:t>
      </w:r>
    </w:p>
    <w:p w:rsidR="00167C23" w:rsidRPr="00EF3956" w:rsidRDefault="00167C23" w:rsidP="0097364C">
      <w:pPr>
        <w:spacing w:line="240" w:lineRule="auto"/>
        <w:ind w:left="0" w:right="1693"/>
        <w:rPr>
          <w:rFonts w:cs="Arial"/>
          <w:szCs w:val="20"/>
        </w:rPr>
      </w:pPr>
      <w:proofErr w:type="gramStart"/>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w:t>
      </w:r>
      <w:proofErr w:type="gramEnd"/>
      <w:r w:rsidRPr="00EF3956">
        <w:rPr>
          <w:rFonts w:cs="Arial"/>
          <w:szCs w:val="20"/>
        </w:rPr>
        <w:t>@tgw-group.com</w:t>
      </w:r>
    </w:p>
    <w:p w:rsidR="00167C23" w:rsidRPr="00EF3956" w:rsidRDefault="00167C23" w:rsidP="0097364C">
      <w:pPr>
        <w:spacing w:line="240" w:lineRule="auto"/>
        <w:ind w:left="0" w:right="1693"/>
        <w:rPr>
          <w:rFonts w:cs="Arial"/>
          <w:szCs w:val="20"/>
        </w:rPr>
      </w:pPr>
    </w:p>
    <w:p w:rsidR="00893BC3" w:rsidRPr="00EF3956" w:rsidRDefault="00893BC3">
      <w:pPr>
        <w:spacing w:line="240" w:lineRule="auto"/>
        <w:ind w:left="0" w:right="1693"/>
        <w:rPr>
          <w:rStyle w:val="Hyperlink"/>
          <w:rFonts w:cs="Arial"/>
          <w:color w:val="auto"/>
          <w:szCs w:val="20"/>
          <w:u w:val="none"/>
          <w:lang w:val="en-US"/>
        </w:rPr>
      </w:pPr>
    </w:p>
    <w:sectPr w:rsidR="00893BC3"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B0" w:rsidRDefault="00960FB0" w:rsidP="00764006">
      <w:pPr>
        <w:spacing w:line="240" w:lineRule="auto"/>
      </w:pPr>
      <w:r>
        <w:separator/>
      </w:r>
    </w:p>
  </w:endnote>
  <w:endnote w:type="continuationSeparator" w:id="0">
    <w:p w:rsidR="00960FB0" w:rsidRDefault="00960FB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7E18CD">
            <w:rPr>
              <w:noProof/>
              <w:sz w:val="16"/>
              <w:szCs w:val="16"/>
            </w:rPr>
            <w:t>3</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7E18CD">
            <w:rPr>
              <w:noProof/>
              <w:sz w:val="16"/>
              <w:szCs w:val="16"/>
            </w:rPr>
            <w:t>3</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B0" w:rsidRDefault="00960FB0" w:rsidP="00764006">
      <w:pPr>
        <w:spacing w:line="240" w:lineRule="auto"/>
      </w:pPr>
      <w:r>
        <w:separator/>
      </w:r>
    </w:p>
  </w:footnote>
  <w:footnote w:type="continuationSeparator" w:id="0">
    <w:p w:rsidR="00960FB0" w:rsidRDefault="00960FB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B8F6FC1"/>
    <w:multiLevelType w:val="hybridMultilevel"/>
    <w:tmpl w:val="29E233D0"/>
    <w:lvl w:ilvl="0" w:tplc="0C070001">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0"/>
  </w:num>
  <w:num w:numId="4">
    <w:abstractNumId w:val="20"/>
  </w:num>
  <w:num w:numId="5">
    <w:abstractNumId w:val="22"/>
  </w:num>
  <w:num w:numId="6">
    <w:abstractNumId w:val="2"/>
  </w:num>
  <w:num w:numId="7">
    <w:abstractNumId w:val="0"/>
  </w:num>
  <w:num w:numId="8">
    <w:abstractNumId w:val="17"/>
  </w:num>
  <w:num w:numId="9">
    <w:abstractNumId w:val="3"/>
  </w:num>
  <w:num w:numId="10">
    <w:abstractNumId w:val="25"/>
  </w:num>
  <w:num w:numId="11">
    <w:abstractNumId w:val="9"/>
  </w:num>
  <w:num w:numId="12">
    <w:abstractNumId w:val="5"/>
  </w:num>
  <w:num w:numId="13">
    <w:abstractNumId w:val="6"/>
  </w:num>
  <w:num w:numId="14">
    <w:abstractNumId w:val="16"/>
  </w:num>
  <w:num w:numId="15">
    <w:abstractNumId w:val="28"/>
  </w:num>
  <w:num w:numId="16">
    <w:abstractNumId w:val="18"/>
  </w:num>
  <w:num w:numId="17">
    <w:abstractNumId w:val="11"/>
  </w:num>
  <w:num w:numId="18">
    <w:abstractNumId w:val="7"/>
  </w:num>
  <w:num w:numId="19">
    <w:abstractNumId w:val="27"/>
  </w:num>
  <w:num w:numId="20">
    <w:abstractNumId w:val="21"/>
  </w:num>
  <w:num w:numId="21">
    <w:abstractNumId w:val="24"/>
  </w:num>
  <w:num w:numId="22">
    <w:abstractNumId w:val="15"/>
  </w:num>
  <w:num w:numId="23">
    <w:abstractNumId w:val="23"/>
  </w:num>
  <w:num w:numId="24">
    <w:abstractNumId w:val="26"/>
  </w:num>
  <w:num w:numId="25">
    <w:abstractNumId w:val="4"/>
  </w:num>
  <w:num w:numId="26">
    <w:abstractNumId w:val="12"/>
  </w:num>
  <w:num w:numId="27">
    <w:abstractNumId w:val="1"/>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36F7E"/>
    <w:rsid w:val="00045C9C"/>
    <w:rsid w:val="00045F47"/>
    <w:rsid w:val="00047282"/>
    <w:rsid w:val="0007311D"/>
    <w:rsid w:val="00075D61"/>
    <w:rsid w:val="00085169"/>
    <w:rsid w:val="00086319"/>
    <w:rsid w:val="0009316E"/>
    <w:rsid w:val="00093ACC"/>
    <w:rsid w:val="00095936"/>
    <w:rsid w:val="000969D5"/>
    <w:rsid w:val="000A267E"/>
    <w:rsid w:val="000A4AC6"/>
    <w:rsid w:val="000A6CE7"/>
    <w:rsid w:val="000B65C7"/>
    <w:rsid w:val="000C38EE"/>
    <w:rsid w:val="000D0B23"/>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5EE4"/>
    <w:rsid w:val="0012627D"/>
    <w:rsid w:val="00131A55"/>
    <w:rsid w:val="001325F4"/>
    <w:rsid w:val="001338DB"/>
    <w:rsid w:val="00142015"/>
    <w:rsid w:val="00142599"/>
    <w:rsid w:val="00142D0C"/>
    <w:rsid w:val="00146F55"/>
    <w:rsid w:val="00147C5F"/>
    <w:rsid w:val="001511F9"/>
    <w:rsid w:val="00152760"/>
    <w:rsid w:val="00155AE9"/>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EA8"/>
    <w:rsid w:val="0023663F"/>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B01D3"/>
    <w:rsid w:val="002C0149"/>
    <w:rsid w:val="002C36E5"/>
    <w:rsid w:val="002C69C9"/>
    <w:rsid w:val="002D359B"/>
    <w:rsid w:val="002D4089"/>
    <w:rsid w:val="002D6158"/>
    <w:rsid w:val="002F551D"/>
    <w:rsid w:val="003107A7"/>
    <w:rsid w:val="00310975"/>
    <w:rsid w:val="00314A98"/>
    <w:rsid w:val="00320511"/>
    <w:rsid w:val="00322CCA"/>
    <w:rsid w:val="00327B11"/>
    <w:rsid w:val="003327F2"/>
    <w:rsid w:val="003367F4"/>
    <w:rsid w:val="00336D99"/>
    <w:rsid w:val="00343BB5"/>
    <w:rsid w:val="00345413"/>
    <w:rsid w:val="00353A88"/>
    <w:rsid w:val="00367F43"/>
    <w:rsid w:val="0037168C"/>
    <w:rsid w:val="00377F06"/>
    <w:rsid w:val="00382EDF"/>
    <w:rsid w:val="00386B3D"/>
    <w:rsid w:val="0039100A"/>
    <w:rsid w:val="0039221F"/>
    <w:rsid w:val="00393349"/>
    <w:rsid w:val="003937AD"/>
    <w:rsid w:val="003A1305"/>
    <w:rsid w:val="003A234F"/>
    <w:rsid w:val="003A35D1"/>
    <w:rsid w:val="003A5CDA"/>
    <w:rsid w:val="003A6D30"/>
    <w:rsid w:val="003A7D0A"/>
    <w:rsid w:val="003B2F92"/>
    <w:rsid w:val="003B47D3"/>
    <w:rsid w:val="003B4ED2"/>
    <w:rsid w:val="003B509C"/>
    <w:rsid w:val="003B5271"/>
    <w:rsid w:val="003B5B33"/>
    <w:rsid w:val="003B62B4"/>
    <w:rsid w:val="003B7A94"/>
    <w:rsid w:val="003C0236"/>
    <w:rsid w:val="003C28EE"/>
    <w:rsid w:val="003C45BF"/>
    <w:rsid w:val="003C747F"/>
    <w:rsid w:val="003E1FFC"/>
    <w:rsid w:val="003E3F4D"/>
    <w:rsid w:val="003E4DE9"/>
    <w:rsid w:val="003E6164"/>
    <w:rsid w:val="003F4923"/>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35FDF"/>
    <w:rsid w:val="00440DC9"/>
    <w:rsid w:val="00451FDA"/>
    <w:rsid w:val="00456A9F"/>
    <w:rsid w:val="004610E8"/>
    <w:rsid w:val="00462574"/>
    <w:rsid w:val="00463BC2"/>
    <w:rsid w:val="00464F70"/>
    <w:rsid w:val="00466A74"/>
    <w:rsid w:val="004713CE"/>
    <w:rsid w:val="004746BE"/>
    <w:rsid w:val="0047613B"/>
    <w:rsid w:val="004832B0"/>
    <w:rsid w:val="00483405"/>
    <w:rsid w:val="00494C82"/>
    <w:rsid w:val="00495D70"/>
    <w:rsid w:val="004A3FD4"/>
    <w:rsid w:val="004B03A1"/>
    <w:rsid w:val="004B219C"/>
    <w:rsid w:val="004B3F79"/>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3CF1"/>
    <w:rsid w:val="005A42B3"/>
    <w:rsid w:val="005A4860"/>
    <w:rsid w:val="005B3F84"/>
    <w:rsid w:val="005B5337"/>
    <w:rsid w:val="005B6C1C"/>
    <w:rsid w:val="005B7A5A"/>
    <w:rsid w:val="005C52BE"/>
    <w:rsid w:val="005D0C18"/>
    <w:rsid w:val="005D3024"/>
    <w:rsid w:val="005D4DAA"/>
    <w:rsid w:val="005D56DA"/>
    <w:rsid w:val="005D71EC"/>
    <w:rsid w:val="005E2C94"/>
    <w:rsid w:val="005E362F"/>
    <w:rsid w:val="005E5427"/>
    <w:rsid w:val="005E7739"/>
    <w:rsid w:val="005F0CD7"/>
    <w:rsid w:val="005F1EA6"/>
    <w:rsid w:val="005F366F"/>
    <w:rsid w:val="00601F87"/>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405C"/>
    <w:rsid w:val="006437FF"/>
    <w:rsid w:val="00643CDE"/>
    <w:rsid w:val="00653944"/>
    <w:rsid w:val="00655843"/>
    <w:rsid w:val="006606C6"/>
    <w:rsid w:val="00660B22"/>
    <w:rsid w:val="00664198"/>
    <w:rsid w:val="00670283"/>
    <w:rsid w:val="0067197F"/>
    <w:rsid w:val="0067659E"/>
    <w:rsid w:val="00676996"/>
    <w:rsid w:val="00677B13"/>
    <w:rsid w:val="006955DC"/>
    <w:rsid w:val="006A109C"/>
    <w:rsid w:val="006A209B"/>
    <w:rsid w:val="006A2917"/>
    <w:rsid w:val="006A31DC"/>
    <w:rsid w:val="006B07F5"/>
    <w:rsid w:val="006B28AB"/>
    <w:rsid w:val="006B29B2"/>
    <w:rsid w:val="006B4E87"/>
    <w:rsid w:val="006B7887"/>
    <w:rsid w:val="006C2268"/>
    <w:rsid w:val="006C79BB"/>
    <w:rsid w:val="006D240C"/>
    <w:rsid w:val="006D5FD7"/>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3680"/>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6F13"/>
    <w:rsid w:val="007C7364"/>
    <w:rsid w:val="007D08F3"/>
    <w:rsid w:val="007D0E42"/>
    <w:rsid w:val="007D148B"/>
    <w:rsid w:val="007D4A13"/>
    <w:rsid w:val="007D6ACE"/>
    <w:rsid w:val="007E18CD"/>
    <w:rsid w:val="007E6D11"/>
    <w:rsid w:val="007F2311"/>
    <w:rsid w:val="007F34B1"/>
    <w:rsid w:val="007F4E5E"/>
    <w:rsid w:val="007F4F96"/>
    <w:rsid w:val="007F6B43"/>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3BC3"/>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116E"/>
    <w:rsid w:val="008F2AC5"/>
    <w:rsid w:val="008F7701"/>
    <w:rsid w:val="009006FC"/>
    <w:rsid w:val="00903DEA"/>
    <w:rsid w:val="0090593C"/>
    <w:rsid w:val="00912C82"/>
    <w:rsid w:val="0091328C"/>
    <w:rsid w:val="00914596"/>
    <w:rsid w:val="00920D0B"/>
    <w:rsid w:val="009242D9"/>
    <w:rsid w:val="009248C3"/>
    <w:rsid w:val="009275F8"/>
    <w:rsid w:val="009321FE"/>
    <w:rsid w:val="00934BF1"/>
    <w:rsid w:val="00937996"/>
    <w:rsid w:val="00950F23"/>
    <w:rsid w:val="00960FB0"/>
    <w:rsid w:val="00963BEA"/>
    <w:rsid w:val="00970363"/>
    <w:rsid w:val="00970784"/>
    <w:rsid w:val="0097364C"/>
    <w:rsid w:val="009768AC"/>
    <w:rsid w:val="009805A6"/>
    <w:rsid w:val="00981E8E"/>
    <w:rsid w:val="00985898"/>
    <w:rsid w:val="00986D52"/>
    <w:rsid w:val="00991E54"/>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3689B"/>
    <w:rsid w:val="00A407E9"/>
    <w:rsid w:val="00A471EA"/>
    <w:rsid w:val="00A510C0"/>
    <w:rsid w:val="00A575D3"/>
    <w:rsid w:val="00A617D8"/>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34B1"/>
    <w:rsid w:val="00B64272"/>
    <w:rsid w:val="00B64531"/>
    <w:rsid w:val="00B74B8A"/>
    <w:rsid w:val="00B74D4F"/>
    <w:rsid w:val="00B8155C"/>
    <w:rsid w:val="00B932A7"/>
    <w:rsid w:val="00B95BAE"/>
    <w:rsid w:val="00BA4EF4"/>
    <w:rsid w:val="00BB3138"/>
    <w:rsid w:val="00BB3826"/>
    <w:rsid w:val="00BB6455"/>
    <w:rsid w:val="00BB73BD"/>
    <w:rsid w:val="00BC12AE"/>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67B00"/>
    <w:rsid w:val="00C83128"/>
    <w:rsid w:val="00C834F9"/>
    <w:rsid w:val="00C843AC"/>
    <w:rsid w:val="00C84540"/>
    <w:rsid w:val="00C8748C"/>
    <w:rsid w:val="00C87DE6"/>
    <w:rsid w:val="00C93F76"/>
    <w:rsid w:val="00C96AB6"/>
    <w:rsid w:val="00CA1801"/>
    <w:rsid w:val="00CA3B88"/>
    <w:rsid w:val="00CA4E1A"/>
    <w:rsid w:val="00CA5A78"/>
    <w:rsid w:val="00CA5C99"/>
    <w:rsid w:val="00CB6FA6"/>
    <w:rsid w:val="00CC797E"/>
    <w:rsid w:val="00CD6174"/>
    <w:rsid w:val="00CE1EE1"/>
    <w:rsid w:val="00CE38E3"/>
    <w:rsid w:val="00CE57C8"/>
    <w:rsid w:val="00CE5C9C"/>
    <w:rsid w:val="00CE73ED"/>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60658"/>
    <w:rsid w:val="00D649D9"/>
    <w:rsid w:val="00D66831"/>
    <w:rsid w:val="00D66FB8"/>
    <w:rsid w:val="00D72569"/>
    <w:rsid w:val="00D745F5"/>
    <w:rsid w:val="00D77312"/>
    <w:rsid w:val="00D77C93"/>
    <w:rsid w:val="00D85C8C"/>
    <w:rsid w:val="00D92EC2"/>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D2A0D"/>
    <w:rsid w:val="00DD36CD"/>
    <w:rsid w:val="00DE10C1"/>
    <w:rsid w:val="00DF270B"/>
    <w:rsid w:val="00DF285B"/>
    <w:rsid w:val="00DF36AC"/>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85CA1"/>
    <w:rsid w:val="00E91F09"/>
    <w:rsid w:val="00E927FC"/>
    <w:rsid w:val="00E967EB"/>
    <w:rsid w:val="00EA410B"/>
    <w:rsid w:val="00EB4632"/>
    <w:rsid w:val="00EB6E2E"/>
    <w:rsid w:val="00EB7CB2"/>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970"/>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076"/>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35F69"/>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02D9C-182E-429B-B89D-0EFE5275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4799</Characters>
  <Application>Microsoft Office Word</Application>
  <DocSecurity>0</DocSecurity>
  <Lines>39</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7</cp:revision>
  <cp:lastPrinted>2019-02-21T13:46:00Z</cp:lastPrinted>
  <dcterms:created xsi:type="dcterms:W3CDTF">2020-02-05T16:19:00Z</dcterms:created>
  <dcterms:modified xsi:type="dcterms:W3CDTF">2020-02-07T07:38:00Z</dcterms:modified>
</cp:coreProperties>
</file>