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7B" w:rsidRPr="0002707B" w:rsidRDefault="00D21FFF" w:rsidP="00D21FFF">
      <w:pPr>
        <w:pStyle w:val="StandardWeb"/>
        <w:shd w:val="clear" w:color="auto" w:fill="FFFFFF"/>
        <w:ind w:right="1837"/>
        <w:jc w:val="both"/>
        <w:rPr>
          <w:rStyle w:val="Fett"/>
          <w:rFonts w:ascii="Arial" w:hAnsi="Arial" w:cs="Arial"/>
          <w:sz w:val="22"/>
          <w:szCs w:val="22"/>
          <w:lang w:val="fr-FR"/>
        </w:rPr>
      </w:pPr>
      <w:r>
        <w:rPr>
          <w:rStyle w:val="Fett"/>
          <w:rFonts w:ascii="Arial" w:hAnsi="Arial" w:cs="Arial"/>
          <w:sz w:val="22"/>
          <w:szCs w:val="22"/>
          <w:lang w:val="fr-FR"/>
        </w:rPr>
        <w:t xml:space="preserve">Le </w:t>
      </w:r>
      <w:r w:rsidR="001A1729">
        <w:rPr>
          <w:rStyle w:val="Fett"/>
          <w:rFonts w:ascii="Arial" w:hAnsi="Arial" w:cs="Arial"/>
          <w:sz w:val="22"/>
          <w:szCs w:val="22"/>
          <w:lang w:val="fr-FR"/>
        </w:rPr>
        <w:t xml:space="preserve">groupe </w:t>
      </w:r>
      <w:r w:rsidR="0002707B" w:rsidRPr="0002707B">
        <w:rPr>
          <w:rStyle w:val="Fett"/>
          <w:rFonts w:ascii="Arial" w:hAnsi="Arial" w:cs="Arial"/>
          <w:sz w:val="22"/>
          <w:szCs w:val="22"/>
          <w:lang w:val="fr-FR"/>
        </w:rPr>
        <w:t xml:space="preserve">TGW </w:t>
      </w:r>
      <w:r>
        <w:rPr>
          <w:rStyle w:val="Fett"/>
          <w:rFonts w:ascii="Arial" w:hAnsi="Arial" w:cs="Arial"/>
          <w:sz w:val="22"/>
          <w:szCs w:val="22"/>
          <w:lang w:val="fr-FR"/>
        </w:rPr>
        <w:t>Logistics</w:t>
      </w:r>
      <w:r w:rsidR="0002707B" w:rsidRPr="0002707B">
        <w:rPr>
          <w:rStyle w:val="Fett"/>
          <w:rFonts w:ascii="Arial" w:hAnsi="Arial" w:cs="Arial"/>
          <w:sz w:val="22"/>
          <w:szCs w:val="22"/>
          <w:lang w:val="fr-FR"/>
        </w:rPr>
        <w:t xml:space="preserve"> poursuit </w:t>
      </w:r>
      <w:r>
        <w:rPr>
          <w:rStyle w:val="Fett"/>
          <w:rFonts w:ascii="Arial" w:hAnsi="Arial" w:cs="Arial"/>
          <w:sz w:val="22"/>
          <w:szCs w:val="22"/>
          <w:lang w:val="fr-FR"/>
        </w:rPr>
        <w:t>sa croissance.</w:t>
      </w:r>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r w:rsidRPr="0002707B">
        <w:rPr>
          <w:rStyle w:val="Fett"/>
          <w:rFonts w:ascii="Arial" w:hAnsi="Arial" w:cs="Arial"/>
          <w:sz w:val="22"/>
          <w:szCs w:val="22"/>
          <w:lang w:val="fr-FR"/>
        </w:rPr>
        <w:t>- Chiffre d'affaires</w:t>
      </w:r>
      <w:r w:rsidR="001A1729">
        <w:rPr>
          <w:rStyle w:val="Fett"/>
          <w:rFonts w:ascii="Arial" w:hAnsi="Arial" w:cs="Arial"/>
          <w:sz w:val="22"/>
          <w:szCs w:val="22"/>
          <w:lang w:val="fr-FR"/>
        </w:rPr>
        <w:t> :</w:t>
      </w:r>
      <w:r w:rsidRPr="0002707B">
        <w:rPr>
          <w:rStyle w:val="Fett"/>
          <w:rFonts w:ascii="Arial" w:hAnsi="Arial" w:cs="Arial"/>
          <w:sz w:val="22"/>
          <w:szCs w:val="22"/>
          <w:lang w:val="fr-FR"/>
        </w:rPr>
        <w:t xml:space="preserve"> 713 millions d'euros </w:t>
      </w:r>
      <w:r w:rsidR="001A1729">
        <w:rPr>
          <w:rStyle w:val="Fett"/>
          <w:rFonts w:ascii="Arial" w:hAnsi="Arial" w:cs="Arial"/>
          <w:sz w:val="22"/>
          <w:szCs w:val="22"/>
          <w:lang w:val="fr-FR"/>
        </w:rPr>
        <w:t>pour l’</w:t>
      </w:r>
      <w:r w:rsidRPr="0002707B">
        <w:rPr>
          <w:rStyle w:val="Fett"/>
          <w:rFonts w:ascii="Arial" w:hAnsi="Arial" w:cs="Arial"/>
          <w:sz w:val="22"/>
          <w:szCs w:val="22"/>
          <w:lang w:val="fr-FR"/>
        </w:rPr>
        <w:t>exercice 2017/2018</w:t>
      </w:r>
      <w:bookmarkStart w:id="0" w:name="_GoBack"/>
      <w:bookmarkEnd w:id="0"/>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r w:rsidRPr="0002707B">
        <w:rPr>
          <w:rStyle w:val="Fett"/>
          <w:rFonts w:ascii="Arial" w:hAnsi="Arial" w:cs="Arial"/>
          <w:sz w:val="22"/>
          <w:szCs w:val="22"/>
          <w:lang w:val="fr-FR"/>
        </w:rPr>
        <w:t xml:space="preserve">- Le nombre d'employés </w:t>
      </w:r>
      <w:r w:rsidR="00D21FFF">
        <w:rPr>
          <w:rStyle w:val="Fett"/>
          <w:rFonts w:ascii="Arial" w:hAnsi="Arial" w:cs="Arial"/>
          <w:sz w:val="22"/>
          <w:szCs w:val="22"/>
          <w:lang w:val="fr-FR"/>
        </w:rPr>
        <w:t xml:space="preserve">a atteint </w:t>
      </w:r>
      <w:r w:rsidRPr="0002707B">
        <w:rPr>
          <w:rStyle w:val="Fett"/>
          <w:rFonts w:ascii="Arial" w:hAnsi="Arial" w:cs="Arial"/>
          <w:sz w:val="22"/>
          <w:szCs w:val="22"/>
          <w:lang w:val="fr-FR"/>
        </w:rPr>
        <w:t>3.165 dans le monde (au 30 juin 2018)</w:t>
      </w:r>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r w:rsidRPr="0002707B">
        <w:rPr>
          <w:rStyle w:val="Fett"/>
          <w:rFonts w:ascii="Arial" w:hAnsi="Arial" w:cs="Arial"/>
          <w:sz w:val="22"/>
          <w:szCs w:val="22"/>
          <w:lang w:val="fr-FR"/>
        </w:rPr>
        <w:t>- Des investissements durables pour l'avenir</w:t>
      </w:r>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r w:rsidRPr="0002707B">
        <w:rPr>
          <w:rStyle w:val="Fett"/>
          <w:rFonts w:ascii="Arial" w:hAnsi="Arial" w:cs="Arial"/>
          <w:sz w:val="22"/>
          <w:szCs w:val="22"/>
          <w:lang w:val="fr-FR"/>
        </w:rPr>
        <w:t xml:space="preserve">- Le budget de recherche et développement augmente de 25 </w:t>
      </w:r>
      <w:r w:rsidR="007F5147">
        <w:rPr>
          <w:rStyle w:val="Fett"/>
          <w:rFonts w:ascii="Arial" w:hAnsi="Arial" w:cs="Arial"/>
          <w:sz w:val="22"/>
          <w:szCs w:val="22"/>
          <w:lang w:val="fr-FR"/>
        </w:rPr>
        <w:t>%</w:t>
      </w:r>
    </w:p>
    <w:p w:rsidR="0002707B" w:rsidRPr="0002707B" w:rsidRDefault="0002707B" w:rsidP="0002707B">
      <w:pPr>
        <w:pStyle w:val="StandardWeb"/>
        <w:shd w:val="clear" w:color="auto" w:fill="FFFFFF"/>
        <w:ind w:right="1837"/>
        <w:jc w:val="both"/>
        <w:rPr>
          <w:rStyle w:val="Fett"/>
          <w:rFonts w:ascii="Arial" w:hAnsi="Arial" w:cs="Arial"/>
          <w:sz w:val="22"/>
          <w:szCs w:val="22"/>
          <w:lang w:val="fr-FR"/>
        </w:rPr>
      </w:pPr>
      <w:r w:rsidRPr="0002707B">
        <w:rPr>
          <w:rStyle w:val="Fett"/>
          <w:rFonts w:ascii="Arial" w:hAnsi="Arial" w:cs="Arial"/>
          <w:sz w:val="22"/>
          <w:szCs w:val="22"/>
          <w:lang w:val="fr-FR"/>
        </w:rPr>
        <w:tab/>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 xml:space="preserve">Le groupe TGW Logistics, dont le siège social se trouve à Marchtrenk, en Autriche, a achevé </w:t>
      </w:r>
      <w:r w:rsidR="007F5147" w:rsidRPr="00A82441">
        <w:rPr>
          <w:rStyle w:val="Fett"/>
          <w:rFonts w:ascii="Arial" w:hAnsi="Arial" w:cs="Arial"/>
          <w:b w:val="0"/>
          <w:sz w:val="22"/>
          <w:szCs w:val="22"/>
          <w:lang w:val="fr-FR"/>
        </w:rPr>
        <w:t xml:space="preserve">son exercice </w:t>
      </w:r>
      <w:r w:rsidRPr="00A82441">
        <w:rPr>
          <w:rStyle w:val="Fett"/>
          <w:rFonts w:ascii="Arial" w:hAnsi="Arial" w:cs="Arial"/>
          <w:b w:val="0"/>
          <w:sz w:val="22"/>
          <w:szCs w:val="22"/>
          <w:lang w:val="fr-FR"/>
        </w:rPr>
        <w:t xml:space="preserve">2017/2018 </w:t>
      </w:r>
      <w:r w:rsidR="007F5147" w:rsidRPr="00A82441">
        <w:rPr>
          <w:rStyle w:val="Fett"/>
          <w:rFonts w:ascii="Arial" w:hAnsi="Arial" w:cs="Arial"/>
          <w:b w:val="0"/>
          <w:sz w:val="22"/>
          <w:szCs w:val="22"/>
          <w:lang w:val="fr-FR"/>
        </w:rPr>
        <w:t xml:space="preserve">avec succès </w:t>
      </w:r>
      <w:r w:rsidRPr="00A82441">
        <w:rPr>
          <w:rStyle w:val="Fett"/>
          <w:rFonts w:ascii="Arial" w:hAnsi="Arial" w:cs="Arial"/>
          <w:b w:val="0"/>
          <w:sz w:val="22"/>
          <w:szCs w:val="22"/>
          <w:lang w:val="fr-FR"/>
        </w:rPr>
        <w:t xml:space="preserve">(du 1er juillet 2017 au 30 juin 2018). Avec un chiffre d'affaires de 713 millions d'euros (621 millions d'euros pour la même période de l'année </w:t>
      </w:r>
      <w:r w:rsidR="00832782" w:rsidRPr="00A82441">
        <w:rPr>
          <w:rStyle w:val="Fett"/>
          <w:rFonts w:ascii="Arial" w:hAnsi="Arial" w:cs="Arial"/>
          <w:b w:val="0"/>
          <w:sz w:val="22"/>
          <w:szCs w:val="22"/>
          <w:lang w:val="fr-FR"/>
        </w:rPr>
        <w:t>précédente</w:t>
      </w:r>
      <w:r w:rsidRPr="00A82441">
        <w:rPr>
          <w:rStyle w:val="Fett"/>
          <w:rFonts w:ascii="Arial" w:hAnsi="Arial" w:cs="Arial"/>
          <w:b w:val="0"/>
          <w:sz w:val="22"/>
          <w:szCs w:val="22"/>
          <w:lang w:val="fr-FR"/>
        </w:rPr>
        <w:t>), le</w:t>
      </w:r>
      <w:r w:rsidR="007F5147" w:rsidRPr="00A82441">
        <w:rPr>
          <w:rStyle w:val="Fett"/>
          <w:rFonts w:ascii="Arial" w:hAnsi="Arial" w:cs="Arial"/>
          <w:b w:val="0"/>
          <w:sz w:val="22"/>
          <w:szCs w:val="22"/>
          <w:lang w:val="fr-FR"/>
        </w:rPr>
        <w:t xml:space="preserve"> spécialiste autrichien</w:t>
      </w:r>
      <w:r w:rsidRPr="00A82441">
        <w:rPr>
          <w:rStyle w:val="Fett"/>
          <w:rFonts w:ascii="Arial" w:hAnsi="Arial" w:cs="Arial"/>
          <w:b w:val="0"/>
          <w:sz w:val="22"/>
          <w:szCs w:val="22"/>
          <w:lang w:val="fr-FR"/>
        </w:rPr>
        <w:t xml:space="preserve"> de l'intralogistique </w:t>
      </w:r>
      <w:r w:rsidR="007F5147" w:rsidRPr="00A82441">
        <w:rPr>
          <w:rStyle w:val="Fett"/>
          <w:rFonts w:ascii="Arial" w:hAnsi="Arial" w:cs="Arial"/>
          <w:b w:val="0"/>
          <w:sz w:val="22"/>
          <w:szCs w:val="22"/>
          <w:lang w:val="fr-FR"/>
        </w:rPr>
        <w:t>a</w:t>
      </w:r>
      <w:r w:rsidRPr="00A82441">
        <w:rPr>
          <w:rStyle w:val="Fett"/>
          <w:rFonts w:ascii="Arial" w:hAnsi="Arial" w:cs="Arial"/>
          <w:b w:val="0"/>
          <w:sz w:val="22"/>
          <w:szCs w:val="22"/>
          <w:lang w:val="fr-FR"/>
        </w:rPr>
        <w:t xml:space="preserve"> réalisé une augmentation de près de 15% </w:t>
      </w:r>
      <w:r w:rsidR="007F5147" w:rsidRPr="00A82441">
        <w:rPr>
          <w:rStyle w:val="Fett"/>
          <w:rFonts w:ascii="Arial" w:hAnsi="Arial" w:cs="Arial"/>
          <w:b w:val="0"/>
          <w:sz w:val="22"/>
          <w:szCs w:val="22"/>
          <w:lang w:val="fr-FR"/>
        </w:rPr>
        <w:t>de son chiffre d’affaires</w:t>
      </w:r>
      <w:r w:rsidR="00832782" w:rsidRPr="00A82441">
        <w:rPr>
          <w:rStyle w:val="Fett"/>
          <w:rFonts w:ascii="Arial" w:hAnsi="Arial" w:cs="Arial"/>
          <w:b w:val="0"/>
          <w:sz w:val="22"/>
          <w:szCs w:val="22"/>
          <w:lang w:val="fr-FR"/>
        </w:rPr>
        <w:t>, soit</w:t>
      </w:r>
      <w:r w:rsidRPr="00A82441">
        <w:rPr>
          <w:rStyle w:val="Fett"/>
          <w:rFonts w:ascii="Arial" w:hAnsi="Arial" w:cs="Arial"/>
          <w:b w:val="0"/>
          <w:sz w:val="22"/>
          <w:szCs w:val="22"/>
          <w:lang w:val="fr-FR"/>
        </w:rPr>
        <w:t xml:space="preserve"> 92 millions d'euros. Au cours de cette période, le nombre d'employés est passé de 2.776 à 3.165, dont environ la moitié a été </w:t>
      </w:r>
      <w:r w:rsidR="007F5147" w:rsidRPr="00A82441">
        <w:rPr>
          <w:rStyle w:val="Fett"/>
          <w:rFonts w:ascii="Arial" w:hAnsi="Arial" w:cs="Arial"/>
          <w:b w:val="0"/>
          <w:sz w:val="22"/>
          <w:szCs w:val="22"/>
          <w:lang w:val="fr-FR"/>
        </w:rPr>
        <w:t xml:space="preserve">embauchée sur les deux sites autrichiens de </w:t>
      </w:r>
      <w:r w:rsidRPr="00A82441">
        <w:rPr>
          <w:rStyle w:val="Fett"/>
          <w:rFonts w:ascii="Arial" w:hAnsi="Arial" w:cs="Arial"/>
          <w:b w:val="0"/>
          <w:sz w:val="22"/>
          <w:szCs w:val="22"/>
          <w:lang w:val="fr-FR"/>
        </w:rPr>
        <w:t>Wels et Marchtrenk. L</w:t>
      </w:r>
      <w:r w:rsidR="00832782" w:rsidRPr="00A82441">
        <w:rPr>
          <w:rStyle w:val="Fett"/>
          <w:rFonts w:ascii="Arial" w:hAnsi="Arial" w:cs="Arial"/>
          <w:b w:val="0"/>
          <w:sz w:val="22"/>
          <w:szCs w:val="22"/>
          <w:lang w:val="fr-FR"/>
        </w:rPr>
        <w:t>’EBIT</w:t>
      </w:r>
      <w:r w:rsidRPr="00A82441">
        <w:rPr>
          <w:rStyle w:val="Fett"/>
          <w:rFonts w:ascii="Arial" w:hAnsi="Arial" w:cs="Arial"/>
          <w:b w:val="0"/>
          <w:sz w:val="22"/>
          <w:szCs w:val="22"/>
          <w:lang w:val="fr-FR"/>
        </w:rPr>
        <w:t xml:space="preserve"> s'élève à 36,6 millions d'euros.</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De plus, TGW a investi dans son avenir durable et a augmenté son budget de recherche et développement de plusieurs millions d'euros. Au cours de l'exercice écoulé, 24,2 millions d'euros ont été investis dans les systèmes et solutions innovants de demain. Comme l'a souligné Harald Schröpf, CEO du groupe TGW Logistics :</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"Nous poursuivrons sur cette voie au cours de l'exercice 2018/2019, notamment en nous concentrant sur la robotique et les systèmes cognitifs. Notre démarrage numérique, initié en 2018, donnera une impulsion supplémentaire dans le domaine de l'entreposage connecté et de la maintenance prédictive. Dans l'ensemble, nous avons augmenté notre budget de recherche et développement de près de 25 % pour l'exercice en cours. La plupart de ces fonds ont été investis en Autriche."</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lastRenderedPageBreak/>
        <w:t>La mise en œuvre du programme de participation des employés de l'entreprise représente une autre étape importante. 4,1 millions d'euros ont été affectés du résultat de l'exercice écoulé au programme de participation des salariés. Pour faire face à la pénurie actuelle de main-d'œuvre qualifiée au niveau local, les dépenses pour la formation continue interne (" TGW Academy ") ont été augmentées. Pour l'exercice en cours, qui a débuté le 1er juillet 2018, Harald Schröpf prévoit également une évolution positive pour TGW. Ainsi, TGW poursuivra la croissance stable qu'elle a connue ces dernières années. Actuellement, TGW, une entreprise proposant des solutions d'intégration de systèmes, recherche 400 nouveaux collaborateurs, dont 200 pour ses deux sites de Haute-Autriche à Wels et Marchtrenk.</w:t>
      </w:r>
    </w:p>
    <w:p w:rsidR="0002707B" w:rsidRPr="00A82441" w:rsidRDefault="00A82441" w:rsidP="0002707B">
      <w:pPr>
        <w:pStyle w:val="StandardWeb"/>
        <w:shd w:val="clear" w:color="auto" w:fill="FFFFFF"/>
        <w:ind w:right="1837"/>
        <w:jc w:val="both"/>
        <w:rPr>
          <w:rStyle w:val="Fett"/>
          <w:rFonts w:ascii="Arial" w:hAnsi="Arial" w:cs="Arial"/>
          <w:sz w:val="22"/>
          <w:szCs w:val="22"/>
          <w:lang w:val="fr-FR"/>
        </w:rPr>
      </w:pPr>
      <w:r w:rsidRPr="00A82441">
        <w:rPr>
          <w:rStyle w:val="Fett"/>
          <w:rFonts w:ascii="Arial" w:hAnsi="Arial" w:cs="Arial"/>
          <w:sz w:val="22"/>
          <w:szCs w:val="22"/>
          <w:lang w:val="fr-FR"/>
        </w:rPr>
        <w:t>De nouveaux bureaux en Autriche et à l’</w:t>
      </w:r>
      <w:r w:rsidR="0002707B" w:rsidRPr="00A82441">
        <w:rPr>
          <w:rStyle w:val="Fett"/>
          <w:rFonts w:ascii="Arial" w:hAnsi="Arial" w:cs="Arial"/>
          <w:sz w:val="22"/>
          <w:szCs w:val="22"/>
          <w:lang w:val="fr-FR"/>
        </w:rPr>
        <w:t>international</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En juin 2018, 700 employés ont emménagé dans leur nouveau siège social appelé TGW Evolution Park à Marchtrenk, en Haute-Autriche. Jörg Scheithauer, CFO du groupe TGW Logistics, explique :</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"Avec un volume d'investissement de 55 millions d'euros, ce nouveau site offre un environnement de travail et de vie à la pointe de la technologie avec un concept de travail par activités et des équipements de haute qualité basés sur une technologie de construction respectueuse de l'environnement. De plus, les services de garde en entreprise ont ouvert leurs portes en octobre 2018. Chez TGW à Wels, plus de deux millions d'euros ont été investis dans la modernisation des infrastructures et l'amélioration de nos installations de production ainsi que de nos bureaux."</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 xml:space="preserve">De nouveaux bureaux locaux ont été ouverts à Atlanta, Seattle et </w:t>
      </w:r>
      <w:r w:rsidR="00745D5A" w:rsidRPr="00A82441">
        <w:rPr>
          <w:rStyle w:val="Fett"/>
          <w:rFonts w:ascii="Arial" w:hAnsi="Arial" w:cs="Arial"/>
          <w:b w:val="0"/>
          <w:sz w:val="22"/>
          <w:szCs w:val="22"/>
          <w:lang w:val="fr-FR"/>
        </w:rPr>
        <w:t xml:space="preserve">Créteil à proximité de </w:t>
      </w:r>
      <w:r w:rsidRPr="00A82441">
        <w:rPr>
          <w:rStyle w:val="Fett"/>
          <w:rFonts w:ascii="Arial" w:hAnsi="Arial" w:cs="Arial"/>
          <w:b w:val="0"/>
          <w:sz w:val="22"/>
          <w:szCs w:val="22"/>
          <w:lang w:val="fr-FR"/>
        </w:rPr>
        <w:t>Paris, afin de servir au mieux ces importants marchés en croissance. La filiale américaine TGW Systems Inc. a fait l'acquisition d'un immeuble de 16 000 mètres carrés au Michigan. Le déménagement du site actuel de l'entreprise à Spring Lake débutera à la fin octobre 2018. Cela renforcera l'alliance de production mondiale entre l'Autriche et la Chine et fournira suffisam</w:t>
      </w:r>
      <w:r w:rsidRPr="00A82441">
        <w:rPr>
          <w:rStyle w:val="Fett"/>
          <w:rFonts w:ascii="Arial" w:hAnsi="Arial" w:cs="Arial"/>
          <w:b w:val="0"/>
          <w:sz w:val="22"/>
          <w:szCs w:val="22"/>
          <w:lang w:val="fr-FR"/>
        </w:rPr>
        <w:lastRenderedPageBreak/>
        <w:t>ment d'espace pour soutenir la croissance de l'entreprise aux États-Unis. Au total, le groupe TGW dispose désormais d'un réseau international de 26 bureaux sur trois continents.</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p>
    <w:p w:rsidR="0002707B" w:rsidRPr="00A82441" w:rsidRDefault="0002707B" w:rsidP="0002707B">
      <w:pPr>
        <w:pStyle w:val="StandardWeb"/>
        <w:shd w:val="clear" w:color="auto" w:fill="FFFFFF"/>
        <w:ind w:right="1837"/>
        <w:jc w:val="both"/>
        <w:rPr>
          <w:rStyle w:val="Fett"/>
          <w:rFonts w:ascii="Arial" w:hAnsi="Arial" w:cs="Arial"/>
          <w:sz w:val="22"/>
          <w:szCs w:val="22"/>
          <w:lang w:val="fr-FR"/>
        </w:rPr>
      </w:pPr>
      <w:r w:rsidRPr="00A82441">
        <w:rPr>
          <w:rStyle w:val="Fett"/>
          <w:rFonts w:ascii="Arial" w:hAnsi="Arial" w:cs="Arial"/>
          <w:sz w:val="22"/>
          <w:szCs w:val="22"/>
          <w:lang w:val="fr-FR"/>
        </w:rPr>
        <w:t xml:space="preserve">TGW : Un employeur majeur dans le domaine du </w:t>
      </w:r>
      <w:r w:rsidR="00A82441">
        <w:rPr>
          <w:rStyle w:val="Fett"/>
          <w:rFonts w:ascii="Arial" w:hAnsi="Arial" w:cs="Arial"/>
          <w:sz w:val="22"/>
          <w:szCs w:val="22"/>
          <w:lang w:val="fr-FR"/>
        </w:rPr>
        <w:t>Software</w:t>
      </w:r>
      <w:r w:rsidRPr="00A82441">
        <w:rPr>
          <w:rStyle w:val="Fett"/>
          <w:rFonts w:ascii="Arial" w:hAnsi="Arial" w:cs="Arial"/>
          <w:sz w:val="22"/>
          <w:szCs w:val="22"/>
          <w:lang w:val="fr-FR"/>
        </w:rPr>
        <w:t xml:space="preserve"> </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Un élément central du développement de l'entreprise est l'expertise logicielle, un secteur d'activité qui n'a cessé de croître au cours des dernières années et qui demeurera au centre des préoccupations de TGW. Le PDG Harald Schröpf souligne :</w:t>
      </w: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p>
    <w:p w:rsidR="0002707B" w:rsidRPr="00A82441" w:rsidRDefault="0002707B" w:rsidP="0002707B">
      <w:pPr>
        <w:pStyle w:val="StandardWeb"/>
        <w:shd w:val="clear" w:color="auto" w:fill="FFFFFF"/>
        <w:ind w:right="1837"/>
        <w:jc w:val="both"/>
        <w:rPr>
          <w:rStyle w:val="Fett"/>
          <w:rFonts w:ascii="Arial" w:hAnsi="Arial" w:cs="Arial"/>
          <w:b w:val="0"/>
          <w:sz w:val="22"/>
          <w:szCs w:val="22"/>
          <w:lang w:val="fr-FR"/>
        </w:rPr>
      </w:pPr>
      <w:r w:rsidRPr="00A82441">
        <w:rPr>
          <w:rStyle w:val="Fett"/>
          <w:rFonts w:ascii="Arial" w:hAnsi="Arial" w:cs="Arial"/>
          <w:b w:val="0"/>
          <w:sz w:val="22"/>
          <w:szCs w:val="22"/>
          <w:lang w:val="fr-FR"/>
        </w:rPr>
        <w:t>"Le savoir-faire logiciel est une compétence essentielle pour les systèmes de gestion d'entrepôt classiques ainsi qu'en termes d'opportunités commerciales qu'offre aujourd'hui la numérisation. Nous sommes constamment à la recherche de spécialistes hautement qualifiés dans ce domaine dans lequel nous continuerons à investir massivement. En tant qu'intégrateur de systèmes, TGW ne fabrique pas seulement des composants mécatroniques, mais nous les connectons également via un logiciel - ainsi qu'aux systèmes ERP de nos clients."</w:t>
      </w:r>
    </w:p>
    <w:p w:rsidR="009F3C98" w:rsidRPr="0002707B" w:rsidRDefault="00735671" w:rsidP="00897D4F">
      <w:pPr>
        <w:pStyle w:val="StandardWeb"/>
        <w:shd w:val="clear" w:color="auto" w:fill="FFFFFF"/>
        <w:spacing w:before="0" w:beforeAutospacing="0" w:after="0" w:afterAutospacing="0" w:line="360" w:lineRule="auto"/>
        <w:ind w:right="1837"/>
        <w:jc w:val="both"/>
        <w:rPr>
          <w:rFonts w:ascii="Arial" w:hAnsi="Arial" w:cs="Arial"/>
          <w:sz w:val="22"/>
          <w:szCs w:val="22"/>
          <w:lang w:val="fr-FR"/>
        </w:rPr>
      </w:pPr>
      <w:r w:rsidRPr="0002707B">
        <w:rPr>
          <w:rFonts w:ascii="Arial" w:hAnsi="Arial" w:cs="Arial"/>
          <w:sz w:val="22"/>
          <w:szCs w:val="22"/>
          <w:lang w:val="fr-FR"/>
        </w:rPr>
        <w:t>www.tgw-group.com</w:t>
      </w:r>
    </w:p>
    <w:p w:rsidR="009F3C98" w:rsidRPr="0002707B" w:rsidRDefault="009F3C98" w:rsidP="00897D4F">
      <w:pPr>
        <w:spacing w:line="240" w:lineRule="auto"/>
        <w:ind w:right="1837"/>
        <w:jc w:val="both"/>
        <w:rPr>
          <w:rFonts w:cs="Arial"/>
          <w:b/>
          <w:sz w:val="22"/>
          <w:lang w:val="fr-FR"/>
        </w:rPr>
      </w:pPr>
    </w:p>
    <w:p w:rsidR="00745D5A" w:rsidRPr="00816A67" w:rsidRDefault="00745D5A" w:rsidP="00745D5A">
      <w:pPr>
        <w:spacing w:line="240" w:lineRule="auto"/>
        <w:ind w:right="1837"/>
        <w:jc w:val="both"/>
        <w:rPr>
          <w:rFonts w:cs="Arial"/>
          <w:b/>
          <w:sz w:val="22"/>
          <w:lang w:val="fr-FR"/>
        </w:rPr>
      </w:pPr>
      <w:r w:rsidRPr="00816A67">
        <w:rPr>
          <w:rFonts w:cs="Arial"/>
          <w:b/>
          <w:sz w:val="22"/>
          <w:lang w:val="fr-FR"/>
        </w:rPr>
        <w:t>A propos de TGW Logistics Group:</w:t>
      </w:r>
    </w:p>
    <w:p w:rsidR="00745D5A" w:rsidRPr="00816A67" w:rsidRDefault="00745D5A" w:rsidP="00CB58A6">
      <w:pPr>
        <w:spacing w:line="240" w:lineRule="auto"/>
        <w:ind w:right="1837"/>
        <w:jc w:val="both"/>
        <w:rPr>
          <w:rFonts w:cs="Arial"/>
          <w:sz w:val="22"/>
          <w:lang w:val="fr-FR"/>
        </w:rPr>
      </w:pPr>
    </w:p>
    <w:p w:rsidR="00745D5A"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Pr>
          <w:rFonts w:eastAsia="Times New Roman" w:cs="Arial"/>
          <w:sz w:val="22"/>
          <w:lang w:val="fr-FR" w:eastAsia="fr-FR"/>
        </w:rPr>
        <w:t xml:space="preserve"> autrichienne</w:t>
      </w:r>
      <w:r w:rsidRPr="003A4E28">
        <w:rPr>
          <w:rFonts w:eastAsia="Times New Roman" w:cs="Arial"/>
          <w:sz w:val="22"/>
          <w:lang w:val="fr-FR" w:eastAsia="fr-FR"/>
        </w:rPr>
        <w:t xml:space="preserve"> a </w:t>
      </w:r>
      <w:r>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Pr>
          <w:rFonts w:eastAsia="Times New Roman" w:cs="Arial"/>
          <w:sz w:val="22"/>
          <w:lang w:val="fr-FR" w:eastAsia="fr-FR"/>
        </w:rPr>
        <w:t>intral</w:t>
      </w:r>
      <w:r w:rsidRPr="003A4E28">
        <w:rPr>
          <w:rFonts w:eastAsia="Times New Roman" w:cs="Arial"/>
          <w:sz w:val="22"/>
          <w:lang w:val="fr-FR" w:eastAsia="fr-FR"/>
        </w:rPr>
        <w:t>ogistique</w:t>
      </w:r>
      <w:r>
        <w:rPr>
          <w:rFonts w:eastAsia="Times New Roman" w:cs="Arial"/>
          <w:sz w:val="22"/>
          <w:lang w:val="fr-FR" w:eastAsia="fr-FR"/>
        </w:rPr>
        <w:t>s</w:t>
      </w:r>
      <w:r w:rsidRPr="003A4E28">
        <w:rPr>
          <w:rFonts w:eastAsia="Times New Roman" w:cs="Arial"/>
          <w:sz w:val="22"/>
          <w:lang w:val="fr-FR" w:eastAsia="fr-FR"/>
        </w:rPr>
        <w:t xml:space="preserve"> sur mesure, </w:t>
      </w:r>
      <w:r>
        <w:rPr>
          <w:rFonts w:eastAsia="Times New Roman" w:cs="Arial"/>
          <w:sz w:val="22"/>
          <w:lang w:val="fr-FR" w:eastAsia="fr-FR"/>
        </w:rPr>
        <w:t>aussi bien pour</w:t>
      </w:r>
      <w:r w:rsidRPr="003A4E28">
        <w:rPr>
          <w:rFonts w:eastAsia="Times New Roman" w:cs="Arial"/>
          <w:sz w:val="22"/>
          <w:lang w:val="fr-FR" w:eastAsia="fr-FR"/>
        </w:rPr>
        <w:t xml:space="preserve"> </w:t>
      </w:r>
      <w:r>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Pr>
          <w:rFonts w:eastAsia="Times New Roman" w:cs="Arial"/>
          <w:sz w:val="22"/>
          <w:lang w:val="fr-FR" w:eastAsia="fr-FR"/>
        </w:rPr>
        <w:t xml:space="preserve"> </w:t>
      </w:r>
      <w:r w:rsidRPr="003A4E28">
        <w:rPr>
          <w:rFonts w:eastAsia="Times New Roman" w:cs="Arial"/>
          <w:sz w:val="22"/>
          <w:lang w:val="fr-FR" w:eastAsia="fr-FR"/>
        </w:rPr>
        <w:t>pour de grandes entre</w:t>
      </w:r>
      <w:r>
        <w:rPr>
          <w:rFonts w:eastAsia="Times New Roman" w:cs="Arial"/>
          <w:sz w:val="22"/>
          <w:lang w:val="fr-FR" w:eastAsia="fr-FR"/>
        </w:rPr>
        <w:t>prises de A comme Adidas à Z comme Zalando</w:t>
      </w:r>
      <w:r w:rsidRPr="003A4E28">
        <w:rPr>
          <w:rFonts w:eastAsia="Times New Roman" w:cs="Arial"/>
          <w:sz w:val="22"/>
          <w:lang w:val="fr-FR" w:eastAsia="fr-FR"/>
        </w:rPr>
        <w:t xml:space="preserve">. </w:t>
      </w:r>
    </w:p>
    <w:p w:rsidR="00745D5A" w:rsidRPr="003A4E28" w:rsidRDefault="00745D5A" w:rsidP="00CB58A6">
      <w:pPr>
        <w:shd w:val="clear" w:color="auto" w:fill="FFFFFF"/>
        <w:spacing w:after="165" w:line="300" w:lineRule="atLeast"/>
        <w:jc w:val="both"/>
        <w:rPr>
          <w:rFonts w:eastAsia="Times New Roman" w:cs="Arial"/>
          <w:sz w:val="22"/>
          <w:lang w:val="fr-FR" w:eastAsia="fr-FR"/>
        </w:rPr>
      </w:pPr>
      <w:r w:rsidRPr="003A4E28">
        <w:rPr>
          <w:rFonts w:eastAsia="Times New Roman" w:cs="Arial"/>
          <w:sz w:val="22"/>
          <w:lang w:val="fr-FR" w:eastAsia="fr-FR"/>
        </w:rPr>
        <w:t xml:space="preserve">Avec près de 3 </w:t>
      </w:r>
      <w:r>
        <w:rPr>
          <w:rFonts w:eastAsia="Times New Roman" w:cs="Arial"/>
          <w:sz w:val="22"/>
          <w:lang w:val="fr-FR" w:eastAsia="fr-FR"/>
        </w:rPr>
        <w:t>30</w:t>
      </w:r>
      <w:r w:rsidRPr="003A4E28">
        <w:rPr>
          <w:rFonts w:eastAsia="Times New Roman" w:cs="Arial"/>
          <w:sz w:val="22"/>
          <w:lang w:val="fr-FR" w:eastAsia="fr-FR"/>
        </w:rPr>
        <w:t>0 employés</w:t>
      </w:r>
      <w:r>
        <w:rPr>
          <w:rFonts w:eastAsia="Times New Roman" w:cs="Arial"/>
          <w:sz w:val="22"/>
          <w:lang w:val="fr-FR" w:eastAsia="fr-FR"/>
        </w:rPr>
        <w:t>, TGW Logistics Group fabrique en Autriche et dispose de filiales en Europe, en Chine et aux Etats-Unis</w:t>
      </w:r>
      <w:r w:rsidRPr="003A4E28">
        <w:rPr>
          <w:rFonts w:eastAsia="Times New Roman" w:cs="Arial"/>
          <w:sz w:val="22"/>
          <w:lang w:val="fr-FR" w:eastAsia="fr-FR"/>
        </w:rPr>
        <w:t>. Au cours de l'exercice 201</w:t>
      </w:r>
      <w:r>
        <w:rPr>
          <w:rFonts w:eastAsia="Times New Roman" w:cs="Arial"/>
          <w:sz w:val="22"/>
          <w:lang w:val="fr-FR" w:eastAsia="fr-FR"/>
        </w:rPr>
        <w:t>7</w:t>
      </w:r>
      <w:r w:rsidRPr="003A4E28">
        <w:rPr>
          <w:rFonts w:eastAsia="Times New Roman" w:cs="Arial"/>
          <w:sz w:val="22"/>
          <w:lang w:val="fr-FR" w:eastAsia="fr-FR"/>
        </w:rPr>
        <w:t>/201</w:t>
      </w:r>
      <w:r>
        <w:rPr>
          <w:rFonts w:eastAsia="Times New Roman" w:cs="Arial"/>
          <w:sz w:val="22"/>
          <w:lang w:val="fr-FR" w:eastAsia="fr-FR"/>
        </w:rPr>
        <w:t>8</w:t>
      </w:r>
      <w:r w:rsidRPr="003A4E28">
        <w:rPr>
          <w:rFonts w:eastAsia="Times New Roman" w:cs="Arial"/>
          <w:sz w:val="22"/>
          <w:lang w:val="fr-FR" w:eastAsia="fr-FR"/>
        </w:rPr>
        <w:t xml:space="preserve">, TGW Logistics Group a </w:t>
      </w:r>
      <w:r>
        <w:rPr>
          <w:rFonts w:eastAsia="Times New Roman" w:cs="Arial"/>
          <w:sz w:val="22"/>
          <w:lang w:val="fr-FR" w:eastAsia="fr-FR"/>
        </w:rPr>
        <w:t>réalisé</w:t>
      </w:r>
      <w:r w:rsidRPr="003A4E28">
        <w:rPr>
          <w:rFonts w:eastAsia="Times New Roman" w:cs="Arial"/>
          <w:sz w:val="22"/>
          <w:lang w:val="fr-FR" w:eastAsia="fr-FR"/>
        </w:rPr>
        <w:t xml:space="preserve"> un chiffre d'affaires de </w:t>
      </w:r>
      <w:r>
        <w:rPr>
          <w:rFonts w:eastAsia="Times New Roman" w:cs="Arial"/>
          <w:sz w:val="22"/>
          <w:lang w:val="fr-FR" w:eastAsia="fr-FR"/>
        </w:rPr>
        <w:t>713</w:t>
      </w:r>
      <w:r w:rsidRPr="003A4E28">
        <w:rPr>
          <w:rFonts w:eastAsia="Times New Roman" w:cs="Arial"/>
          <w:sz w:val="22"/>
          <w:lang w:val="fr-FR" w:eastAsia="fr-FR"/>
        </w:rPr>
        <w:t xml:space="preserve"> millions d'euros.</w:t>
      </w:r>
    </w:p>
    <w:p w:rsidR="00745D5A" w:rsidRPr="003A4E28" w:rsidRDefault="00745D5A" w:rsidP="00CB58A6">
      <w:pPr>
        <w:spacing w:line="240" w:lineRule="auto"/>
        <w:ind w:right="1837"/>
        <w:jc w:val="both"/>
        <w:rPr>
          <w:rFonts w:cs="Arial"/>
          <w:sz w:val="22"/>
          <w:lang w:val="fr-FR"/>
        </w:rPr>
      </w:pPr>
    </w:p>
    <w:p w:rsidR="00745D5A" w:rsidRPr="003A4E28" w:rsidRDefault="00745D5A" w:rsidP="00CB58A6">
      <w:pPr>
        <w:spacing w:line="240" w:lineRule="auto"/>
        <w:ind w:right="1837"/>
        <w:jc w:val="both"/>
        <w:rPr>
          <w:rFonts w:cs="Arial"/>
          <w:sz w:val="22"/>
          <w:lang w:val="fr-FR"/>
        </w:rPr>
      </w:pPr>
    </w:p>
    <w:p w:rsidR="00745D5A" w:rsidRPr="0002707B" w:rsidRDefault="00745D5A" w:rsidP="00CB58A6">
      <w:pPr>
        <w:spacing w:line="240" w:lineRule="auto"/>
        <w:ind w:right="1837"/>
        <w:jc w:val="both"/>
        <w:rPr>
          <w:rFonts w:cs="Arial"/>
          <w:b/>
          <w:sz w:val="22"/>
          <w:lang w:val="fr-FR"/>
        </w:rPr>
      </w:pPr>
      <w:r w:rsidRPr="0002707B">
        <w:rPr>
          <w:rFonts w:cs="Arial"/>
          <w:b/>
          <w:sz w:val="22"/>
          <w:lang w:val="fr-FR"/>
        </w:rPr>
        <w:lastRenderedPageBreak/>
        <w:t>Photos :</w:t>
      </w:r>
    </w:p>
    <w:p w:rsidR="00745D5A" w:rsidRPr="003A4E28" w:rsidRDefault="00745D5A" w:rsidP="00CB58A6">
      <w:pPr>
        <w:spacing w:line="240" w:lineRule="auto"/>
        <w:ind w:right="1837"/>
        <w:jc w:val="both"/>
        <w:rPr>
          <w:rFonts w:cs="Arial"/>
          <w:sz w:val="22"/>
          <w:lang w:val="fr-FR"/>
        </w:rPr>
      </w:pPr>
      <w:r w:rsidRPr="00C05C39">
        <w:rPr>
          <w:rFonts w:cs="Arial"/>
          <w:sz w:val="22"/>
          <w:lang w:val="fr-FR"/>
        </w:rPr>
        <w:t xml:space="preserve">L’utilisation des photos mentionnant TGW Logistics Group </w:t>
      </w:r>
      <w:r>
        <w:rPr>
          <w:rFonts w:cs="Arial"/>
          <w:sz w:val="22"/>
          <w:lang w:val="fr-FR"/>
        </w:rPr>
        <w:t>est</w:t>
      </w:r>
      <w:r w:rsidRPr="00C05C39">
        <w:rPr>
          <w:rFonts w:cs="Arial"/>
          <w:sz w:val="22"/>
          <w:lang w:val="fr-FR"/>
        </w:rPr>
        <w:t xml:space="preserve"> libre de droits. </w:t>
      </w:r>
      <w:r w:rsidRPr="003A4E28">
        <w:rPr>
          <w:rFonts w:cs="Arial"/>
          <w:sz w:val="22"/>
          <w:lang w:val="fr-FR"/>
        </w:rPr>
        <w:t>L’utilisation des photos TGW à des fins promotionnelles est interdite.</w:t>
      </w:r>
    </w:p>
    <w:p w:rsidR="009D7227" w:rsidRPr="003A4E28" w:rsidRDefault="009D7227" w:rsidP="00CB58A6">
      <w:pPr>
        <w:spacing w:line="240" w:lineRule="auto"/>
        <w:ind w:right="1837"/>
        <w:jc w:val="both"/>
        <w:rPr>
          <w:rFonts w:cs="Arial"/>
          <w:sz w:val="22"/>
          <w:lang w:val="fr-FR"/>
        </w:rPr>
      </w:pPr>
    </w:p>
    <w:p w:rsidR="009F3C98" w:rsidRPr="003A4E28" w:rsidRDefault="009D7227" w:rsidP="00CB58A6">
      <w:pPr>
        <w:spacing w:line="240" w:lineRule="auto"/>
        <w:ind w:right="701"/>
        <w:jc w:val="both"/>
        <w:rPr>
          <w:rFonts w:cs="Arial"/>
          <w:b/>
          <w:sz w:val="22"/>
          <w:lang w:val="en-US"/>
        </w:rPr>
      </w:pPr>
      <w:r w:rsidRPr="003A4E28">
        <w:rPr>
          <w:rFonts w:cs="Arial"/>
          <w:b/>
          <w:sz w:val="22"/>
          <w:lang w:val="en-US"/>
        </w:rPr>
        <w:t>Contact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Martin Kirchmayr</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&amp; Communication Manager</w:t>
      </w:r>
    </w:p>
    <w:p w:rsidR="009F3C98" w:rsidRPr="003A4E28" w:rsidRDefault="009F3C98" w:rsidP="00CB58A6">
      <w:pPr>
        <w:spacing w:line="240" w:lineRule="auto"/>
        <w:ind w:right="701"/>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CB58A6">
      <w:pPr>
        <w:spacing w:line="240" w:lineRule="auto"/>
        <w:ind w:right="701"/>
        <w:jc w:val="both"/>
        <w:rPr>
          <w:rFonts w:cs="Arial"/>
          <w:sz w:val="22"/>
        </w:rPr>
      </w:pPr>
      <w:r w:rsidRPr="003A4E28">
        <w:rPr>
          <w:rFonts w:cs="Arial"/>
          <w:sz w:val="22"/>
        </w:rPr>
        <w:t>M: +43.(0)664.8187423</w:t>
      </w:r>
    </w:p>
    <w:p w:rsidR="009F3C98" w:rsidRPr="003A4E28" w:rsidRDefault="009F3C98" w:rsidP="00CB58A6">
      <w:pPr>
        <w:spacing w:line="240" w:lineRule="auto"/>
        <w:ind w:right="701"/>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CB58A6">
      <w:pPr>
        <w:spacing w:line="240" w:lineRule="auto"/>
        <w:ind w:right="701"/>
        <w:jc w:val="both"/>
        <w:rPr>
          <w:rFonts w:cs="Arial"/>
          <w:sz w:val="22"/>
        </w:rPr>
      </w:pPr>
    </w:p>
    <w:p w:rsidR="009F3C98" w:rsidRPr="003A4E28" w:rsidRDefault="009F3C98" w:rsidP="00CB58A6">
      <w:pPr>
        <w:spacing w:line="240" w:lineRule="auto"/>
        <w:ind w:right="701"/>
        <w:jc w:val="both"/>
        <w:rPr>
          <w:rFonts w:cs="Arial"/>
          <w:sz w:val="22"/>
        </w:rPr>
      </w:pPr>
    </w:p>
    <w:p w:rsidR="009F3C98" w:rsidRPr="0096162B" w:rsidRDefault="009F3C98" w:rsidP="00CB58A6">
      <w:pPr>
        <w:spacing w:line="240" w:lineRule="auto"/>
        <w:ind w:right="701"/>
        <w:jc w:val="both"/>
        <w:rPr>
          <w:rFonts w:cs="Arial"/>
          <w:sz w:val="22"/>
          <w:lang w:val="en-US"/>
        </w:rPr>
      </w:pPr>
      <w:r w:rsidRPr="0096162B">
        <w:rPr>
          <w:rFonts w:cs="Arial"/>
          <w:sz w:val="22"/>
          <w:lang w:val="en-US"/>
        </w:rPr>
        <w:t>Alexander Tahedl</w:t>
      </w:r>
    </w:p>
    <w:p w:rsidR="009F3C98" w:rsidRPr="003A4E28" w:rsidRDefault="009F3C98" w:rsidP="00CB58A6">
      <w:pPr>
        <w:spacing w:line="240" w:lineRule="auto"/>
        <w:ind w:right="701"/>
        <w:jc w:val="both"/>
        <w:rPr>
          <w:rFonts w:cs="Arial"/>
          <w:sz w:val="22"/>
          <w:lang w:val="en-US"/>
        </w:rPr>
      </w:pPr>
      <w:r w:rsidRPr="003A4E28">
        <w:rPr>
          <w:rFonts w:cs="Arial"/>
          <w:sz w:val="22"/>
          <w:lang w:val="en-US"/>
        </w:rPr>
        <w:t>Marketing Specialist</w:t>
      </w:r>
    </w:p>
    <w:p w:rsidR="009F3C98" w:rsidRPr="003A4E28" w:rsidRDefault="009F3C98" w:rsidP="00CB58A6">
      <w:pPr>
        <w:spacing w:line="240" w:lineRule="auto"/>
        <w:ind w:right="701"/>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CB58A6">
      <w:pPr>
        <w:spacing w:line="240" w:lineRule="auto"/>
        <w:ind w:right="701"/>
        <w:jc w:val="both"/>
        <w:rPr>
          <w:rFonts w:cs="Arial"/>
          <w:sz w:val="22"/>
          <w:lang w:val="en-US"/>
        </w:rPr>
      </w:pPr>
      <w:r w:rsidRPr="003A4E28">
        <w:rPr>
          <w:rFonts w:cs="Arial"/>
          <w:sz w:val="22"/>
          <w:lang w:val="en-US"/>
        </w:rPr>
        <w:t>alexander.tahedl@tgw-group.com</w:t>
      </w:r>
    </w:p>
    <w:p w:rsidR="009F3C98" w:rsidRPr="003A4E28" w:rsidRDefault="009F3C98" w:rsidP="00CB58A6">
      <w:pPr>
        <w:spacing w:line="240" w:lineRule="auto"/>
        <w:ind w:right="701"/>
        <w:jc w:val="both"/>
        <w:rPr>
          <w:rFonts w:cs="Arial"/>
          <w:sz w:val="22"/>
          <w:lang w:val="en-US"/>
        </w:rPr>
      </w:pPr>
    </w:p>
    <w:p w:rsidR="009F3C98" w:rsidRPr="003A4E28" w:rsidRDefault="009F3C98" w:rsidP="00CB58A6">
      <w:pPr>
        <w:tabs>
          <w:tab w:val="left" w:pos="1305"/>
        </w:tabs>
        <w:jc w:val="both"/>
        <w:rPr>
          <w:rFonts w:cs="Arial"/>
          <w:sz w:val="22"/>
          <w:lang w:val="en-US" w:eastAsia="de-AT"/>
        </w:rPr>
      </w:pP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8F" w:rsidRDefault="00887B8F" w:rsidP="00764006">
      <w:pPr>
        <w:spacing w:line="240" w:lineRule="auto"/>
      </w:pPr>
      <w:r>
        <w:separator/>
      </w:r>
    </w:p>
  </w:endnote>
  <w:endnote w:type="continuationSeparator" w:id="0">
    <w:p w:rsidR="00887B8F" w:rsidRDefault="00887B8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E10688">
            <w:rPr>
              <w:noProof/>
              <w:sz w:val="16"/>
            </w:rPr>
            <w:t>2</w:t>
          </w:r>
          <w:r w:rsidRPr="00252CD7">
            <w:rPr>
              <w:sz w:val="16"/>
            </w:rPr>
            <w:fldChar w:fldCharType="end"/>
          </w:r>
          <w:r w:rsidRPr="00252CD7">
            <w:rPr>
              <w:sz w:val="16"/>
            </w:rPr>
            <w:t xml:space="preserve"> / </w:t>
          </w:r>
          <w:r w:rsidR="00735671">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8F" w:rsidRDefault="00887B8F" w:rsidP="00764006">
      <w:pPr>
        <w:spacing w:line="240" w:lineRule="auto"/>
      </w:pPr>
      <w:r>
        <w:separator/>
      </w:r>
    </w:p>
  </w:footnote>
  <w:footnote w:type="continuationSeparator" w:id="0">
    <w:p w:rsidR="00887B8F" w:rsidRDefault="00887B8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2"/>
  </w:num>
  <w:num w:numId="5">
    <w:abstractNumId w:val="4"/>
  </w:num>
  <w:num w:numId="6">
    <w:abstractNumId w:val="1"/>
  </w:num>
  <w:num w:numId="7">
    <w:abstractNumId w:val="6"/>
  </w:num>
  <w:num w:numId="8">
    <w:abstractNumId w:val="3"/>
  </w:num>
  <w:num w:numId="9">
    <w:abstractNumId w:val="10"/>
  </w:num>
  <w:num w:numId="10">
    <w:abstractNumId w:val="0"/>
  </w:num>
  <w:num w:numId="11">
    <w:abstractNumId w:val="2"/>
  </w:num>
  <w:num w:numId="12">
    <w:abstractNumId w:val="8"/>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2707B"/>
    <w:rsid w:val="00041846"/>
    <w:rsid w:val="00046CA1"/>
    <w:rsid w:val="00065CD8"/>
    <w:rsid w:val="0006709E"/>
    <w:rsid w:val="00070362"/>
    <w:rsid w:val="000740E1"/>
    <w:rsid w:val="0008298D"/>
    <w:rsid w:val="0008328C"/>
    <w:rsid w:val="00087586"/>
    <w:rsid w:val="00090D40"/>
    <w:rsid w:val="00094DFA"/>
    <w:rsid w:val="000A490F"/>
    <w:rsid w:val="000A67DD"/>
    <w:rsid w:val="000D79F0"/>
    <w:rsid w:val="000E721B"/>
    <w:rsid w:val="000E779D"/>
    <w:rsid w:val="000F7D85"/>
    <w:rsid w:val="00100CDF"/>
    <w:rsid w:val="00102B91"/>
    <w:rsid w:val="00102B94"/>
    <w:rsid w:val="00117307"/>
    <w:rsid w:val="00132861"/>
    <w:rsid w:val="001336A2"/>
    <w:rsid w:val="00141B16"/>
    <w:rsid w:val="00151881"/>
    <w:rsid w:val="00157348"/>
    <w:rsid w:val="00157FD2"/>
    <w:rsid w:val="001606D4"/>
    <w:rsid w:val="0017018E"/>
    <w:rsid w:val="00183096"/>
    <w:rsid w:val="00183B79"/>
    <w:rsid w:val="0018497E"/>
    <w:rsid w:val="00193DF6"/>
    <w:rsid w:val="001A1729"/>
    <w:rsid w:val="001B0377"/>
    <w:rsid w:val="001B1C61"/>
    <w:rsid w:val="001B3551"/>
    <w:rsid w:val="001B3B4C"/>
    <w:rsid w:val="001C1504"/>
    <w:rsid w:val="001C1F1C"/>
    <w:rsid w:val="001C75F5"/>
    <w:rsid w:val="001C7C14"/>
    <w:rsid w:val="001D38DF"/>
    <w:rsid w:val="001D3B2A"/>
    <w:rsid w:val="001E12D3"/>
    <w:rsid w:val="001E7058"/>
    <w:rsid w:val="001F4EB1"/>
    <w:rsid w:val="00205B69"/>
    <w:rsid w:val="002070D2"/>
    <w:rsid w:val="00213187"/>
    <w:rsid w:val="002178D9"/>
    <w:rsid w:val="00222B47"/>
    <w:rsid w:val="002316D5"/>
    <w:rsid w:val="00231C7F"/>
    <w:rsid w:val="00237FAD"/>
    <w:rsid w:val="002466C0"/>
    <w:rsid w:val="00252CD7"/>
    <w:rsid w:val="00255570"/>
    <w:rsid w:val="0026487A"/>
    <w:rsid w:val="00271172"/>
    <w:rsid w:val="00274D16"/>
    <w:rsid w:val="00292EE3"/>
    <w:rsid w:val="00294E36"/>
    <w:rsid w:val="002A24DB"/>
    <w:rsid w:val="002A47F3"/>
    <w:rsid w:val="002B3503"/>
    <w:rsid w:val="002B4568"/>
    <w:rsid w:val="002B7358"/>
    <w:rsid w:val="002C7175"/>
    <w:rsid w:val="002D3F73"/>
    <w:rsid w:val="002D5963"/>
    <w:rsid w:val="002D63EE"/>
    <w:rsid w:val="002E312E"/>
    <w:rsid w:val="0030159E"/>
    <w:rsid w:val="003114D5"/>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65DE"/>
    <w:rsid w:val="003820A5"/>
    <w:rsid w:val="00387427"/>
    <w:rsid w:val="00393F32"/>
    <w:rsid w:val="003A2448"/>
    <w:rsid w:val="003A2AEC"/>
    <w:rsid w:val="003A4E28"/>
    <w:rsid w:val="003C55E8"/>
    <w:rsid w:val="003D3E79"/>
    <w:rsid w:val="003D66BA"/>
    <w:rsid w:val="003E0954"/>
    <w:rsid w:val="003E3D73"/>
    <w:rsid w:val="003F04A3"/>
    <w:rsid w:val="003F6519"/>
    <w:rsid w:val="003F6B47"/>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5003"/>
    <w:rsid w:val="00455C3D"/>
    <w:rsid w:val="00470B0F"/>
    <w:rsid w:val="00485326"/>
    <w:rsid w:val="00487647"/>
    <w:rsid w:val="00490DD3"/>
    <w:rsid w:val="004A4623"/>
    <w:rsid w:val="004A48A6"/>
    <w:rsid w:val="004A5DE3"/>
    <w:rsid w:val="004A78EA"/>
    <w:rsid w:val="004C436D"/>
    <w:rsid w:val="004C4506"/>
    <w:rsid w:val="004C775A"/>
    <w:rsid w:val="004E0BAD"/>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72BDA"/>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670D6"/>
    <w:rsid w:val="0066718E"/>
    <w:rsid w:val="00671061"/>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259A"/>
    <w:rsid w:val="00713569"/>
    <w:rsid w:val="007149B0"/>
    <w:rsid w:val="00716360"/>
    <w:rsid w:val="00722485"/>
    <w:rsid w:val="00725E83"/>
    <w:rsid w:val="00735671"/>
    <w:rsid w:val="00742B23"/>
    <w:rsid w:val="00742C37"/>
    <w:rsid w:val="00744133"/>
    <w:rsid w:val="00745D5A"/>
    <w:rsid w:val="007502BB"/>
    <w:rsid w:val="007506B6"/>
    <w:rsid w:val="0075117B"/>
    <w:rsid w:val="00751CEF"/>
    <w:rsid w:val="0075207B"/>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7155"/>
    <w:rsid w:val="007D0E42"/>
    <w:rsid w:val="007D42C5"/>
    <w:rsid w:val="007E1165"/>
    <w:rsid w:val="007E3B01"/>
    <w:rsid w:val="007E5BFD"/>
    <w:rsid w:val="007F16AA"/>
    <w:rsid w:val="007F5147"/>
    <w:rsid w:val="007F65B6"/>
    <w:rsid w:val="008116A0"/>
    <w:rsid w:val="00816A67"/>
    <w:rsid w:val="00831203"/>
    <w:rsid w:val="00832782"/>
    <w:rsid w:val="00833F21"/>
    <w:rsid w:val="00842E6F"/>
    <w:rsid w:val="00842F50"/>
    <w:rsid w:val="008451B8"/>
    <w:rsid w:val="00851E9F"/>
    <w:rsid w:val="00852A74"/>
    <w:rsid w:val="008618D7"/>
    <w:rsid w:val="00865F37"/>
    <w:rsid w:val="00866318"/>
    <w:rsid w:val="00866BFD"/>
    <w:rsid w:val="008672DF"/>
    <w:rsid w:val="00871FD1"/>
    <w:rsid w:val="00875AA2"/>
    <w:rsid w:val="0088112F"/>
    <w:rsid w:val="00887B8F"/>
    <w:rsid w:val="00897D4F"/>
    <w:rsid w:val="008A229E"/>
    <w:rsid w:val="008B0155"/>
    <w:rsid w:val="008B14EC"/>
    <w:rsid w:val="008B2422"/>
    <w:rsid w:val="008B3FB7"/>
    <w:rsid w:val="008B516C"/>
    <w:rsid w:val="008B5405"/>
    <w:rsid w:val="008C62E5"/>
    <w:rsid w:val="008C6C73"/>
    <w:rsid w:val="008D75EB"/>
    <w:rsid w:val="008E567E"/>
    <w:rsid w:val="008E6DCA"/>
    <w:rsid w:val="008F3935"/>
    <w:rsid w:val="008F7301"/>
    <w:rsid w:val="009017AD"/>
    <w:rsid w:val="00903306"/>
    <w:rsid w:val="00911110"/>
    <w:rsid w:val="00930E95"/>
    <w:rsid w:val="0094574B"/>
    <w:rsid w:val="009512F2"/>
    <w:rsid w:val="00951E90"/>
    <w:rsid w:val="00953D37"/>
    <w:rsid w:val="00955530"/>
    <w:rsid w:val="00955D5A"/>
    <w:rsid w:val="00955E53"/>
    <w:rsid w:val="0096162B"/>
    <w:rsid w:val="0096755C"/>
    <w:rsid w:val="00967971"/>
    <w:rsid w:val="00967BBF"/>
    <w:rsid w:val="009770F4"/>
    <w:rsid w:val="00980AC9"/>
    <w:rsid w:val="00986B89"/>
    <w:rsid w:val="00992454"/>
    <w:rsid w:val="0099342D"/>
    <w:rsid w:val="00993D0E"/>
    <w:rsid w:val="0099759A"/>
    <w:rsid w:val="009A1195"/>
    <w:rsid w:val="009A1E9F"/>
    <w:rsid w:val="009B2AE7"/>
    <w:rsid w:val="009B6AE2"/>
    <w:rsid w:val="009D0439"/>
    <w:rsid w:val="009D0455"/>
    <w:rsid w:val="009D6810"/>
    <w:rsid w:val="009D722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2441"/>
    <w:rsid w:val="00AA69DF"/>
    <w:rsid w:val="00AB2157"/>
    <w:rsid w:val="00AC02D7"/>
    <w:rsid w:val="00AC330A"/>
    <w:rsid w:val="00AD3796"/>
    <w:rsid w:val="00AD5AFC"/>
    <w:rsid w:val="00AE137E"/>
    <w:rsid w:val="00AF7D9E"/>
    <w:rsid w:val="00B02F85"/>
    <w:rsid w:val="00B03B65"/>
    <w:rsid w:val="00B121A2"/>
    <w:rsid w:val="00B14BBB"/>
    <w:rsid w:val="00B15708"/>
    <w:rsid w:val="00B244D7"/>
    <w:rsid w:val="00B273AD"/>
    <w:rsid w:val="00B40D67"/>
    <w:rsid w:val="00B422A2"/>
    <w:rsid w:val="00B44880"/>
    <w:rsid w:val="00B50427"/>
    <w:rsid w:val="00B56A9C"/>
    <w:rsid w:val="00B57511"/>
    <w:rsid w:val="00B61C91"/>
    <w:rsid w:val="00B76AF4"/>
    <w:rsid w:val="00B77027"/>
    <w:rsid w:val="00B834E2"/>
    <w:rsid w:val="00B87B68"/>
    <w:rsid w:val="00B904F1"/>
    <w:rsid w:val="00B9250D"/>
    <w:rsid w:val="00BA00CF"/>
    <w:rsid w:val="00BA0D68"/>
    <w:rsid w:val="00BA29FA"/>
    <w:rsid w:val="00BB04FF"/>
    <w:rsid w:val="00BC5D88"/>
    <w:rsid w:val="00BD4BF3"/>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4025D"/>
    <w:rsid w:val="00C40B71"/>
    <w:rsid w:val="00C41386"/>
    <w:rsid w:val="00C47105"/>
    <w:rsid w:val="00C52A37"/>
    <w:rsid w:val="00C60A1F"/>
    <w:rsid w:val="00C632A9"/>
    <w:rsid w:val="00C67898"/>
    <w:rsid w:val="00C71367"/>
    <w:rsid w:val="00C72401"/>
    <w:rsid w:val="00C7621E"/>
    <w:rsid w:val="00C8175A"/>
    <w:rsid w:val="00C828E0"/>
    <w:rsid w:val="00C87839"/>
    <w:rsid w:val="00C9530E"/>
    <w:rsid w:val="00CA1D9F"/>
    <w:rsid w:val="00CB58A6"/>
    <w:rsid w:val="00CB6E03"/>
    <w:rsid w:val="00CC467B"/>
    <w:rsid w:val="00CC6F89"/>
    <w:rsid w:val="00CD0C2E"/>
    <w:rsid w:val="00CD1F7D"/>
    <w:rsid w:val="00CF2541"/>
    <w:rsid w:val="00CF592B"/>
    <w:rsid w:val="00D210C4"/>
    <w:rsid w:val="00D21FFF"/>
    <w:rsid w:val="00D25CD8"/>
    <w:rsid w:val="00D279F1"/>
    <w:rsid w:val="00D40C6D"/>
    <w:rsid w:val="00D40D58"/>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0688"/>
    <w:rsid w:val="00E123A8"/>
    <w:rsid w:val="00E148D6"/>
    <w:rsid w:val="00E15606"/>
    <w:rsid w:val="00E21CBA"/>
    <w:rsid w:val="00E21D57"/>
    <w:rsid w:val="00E220EC"/>
    <w:rsid w:val="00E32CED"/>
    <w:rsid w:val="00E3702E"/>
    <w:rsid w:val="00E437CD"/>
    <w:rsid w:val="00E5322C"/>
    <w:rsid w:val="00E57080"/>
    <w:rsid w:val="00E62C00"/>
    <w:rsid w:val="00E7310E"/>
    <w:rsid w:val="00E73E7B"/>
    <w:rsid w:val="00E7418C"/>
    <w:rsid w:val="00E900FE"/>
    <w:rsid w:val="00E9046B"/>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D01"/>
    <w:rsid w:val="00F33421"/>
    <w:rsid w:val="00F41630"/>
    <w:rsid w:val="00F438F9"/>
    <w:rsid w:val="00F54CA0"/>
    <w:rsid w:val="00F56184"/>
    <w:rsid w:val="00F60F42"/>
    <w:rsid w:val="00F6247B"/>
    <w:rsid w:val="00F63E13"/>
    <w:rsid w:val="00F64F36"/>
    <w:rsid w:val="00F710EF"/>
    <w:rsid w:val="00F7391E"/>
    <w:rsid w:val="00F73A1A"/>
    <w:rsid w:val="00F75625"/>
    <w:rsid w:val="00F76CFA"/>
    <w:rsid w:val="00F854AB"/>
    <w:rsid w:val="00F87A60"/>
    <w:rsid w:val="00F969C3"/>
    <w:rsid w:val="00FA38D1"/>
    <w:rsid w:val="00FA418C"/>
    <w:rsid w:val="00FA6608"/>
    <w:rsid w:val="00FB7150"/>
    <w:rsid w:val="00FB7479"/>
    <w:rsid w:val="00FD15B7"/>
    <w:rsid w:val="00FD559D"/>
    <w:rsid w:val="00FD6FA7"/>
    <w:rsid w:val="00FE0E60"/>
    <w:rsid w:val="00FE27B4"/>
    <w:rsid w:val="00FE2E8B"/>
    <w:rsid w:val="00FE34A1"/>
    <w:rsid w:val="00FE44DF"/>
    <w:rsid w:val="00FF2ED5"/>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78E340"/>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6B952-A926-4E9B-BBD1-4390B386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5122</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2</cp:revision>
  <cp:lastPrinted>2018-10-18T08:23:00Z</cp:lastPrinted>
  <dcterms:created xsi:type="dcterms:W3CDTF">2018-10-31T07:11:00Z</dcterms:created>
  <dcterms:modified xsi:type="dcterms:W3CDTF">2018-10-31T07:11:00Z</dcterms:modified>
</cp:coreProperties>
</file>