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C4ACD" w14:textId="77777777" w:rsidR="000915AA" w:rsidRDefault="000915AA" w:rsidP="00036D29">
      <w:pPr>
        <w:ind w:left="0"/>
        <w:rPr>
          <w:b/>
        </w:rPr>
      </w:pPr>
    </w:p>
    <w:p w14:paraId="31A92B10" w14:textId="6F9DCD2D" w:rsidR="00036D29" w:rsidRPr="000915AA" w:rsidRDefault="00082E0D" w:rsidP="00036D29">
      <w:pPr>
        <w:ind w:left="0"/>
        <w:rPr>
          <w:b/>
          <w:sz w:val="28"/>
          <w:szCs w:val="28"/>
        </w:rPr>
      </w:pPr>
      <w:r w:rsidRPr="000915AA">
        <w:rPr>
          <w:b/>
          <w:sz w:val="28"/>
          <w:szCs w:val="28"/>
        </w:rPr>
        <w:t>C</w:t>
      </w:r>
      <w:r w:rsidR="000915AA" w:rsidRPr="000915AA">
        <w:rPr>
          <w:b/>
          <w:sz w:val="28"/>
          <w:szCs w:val="28"/>
        </w:rPr>
        <w:t>ontinua el crecimiento</w:t>
      </w:r>
      <w:r w:rsidR="000434CA" w:rsidRPr="000915AA">
        <w:rPr>
          <w:b/>
          <w:sz w:val="28"/>
          <w:szCs w:val="28"/>
        </w:rPr>
        <w:t xml:space="preserve"> de TGW </w:t>
      </w:r>
    </w:p>
    <w:p w14:paraId="1FC33AF7" w14:textId="77777777" w:rsidR="00036D29" w:rsidRDefault="00036D29" w:rsidP="00036D29">
      <w:pPr>
        <w:ind w:left="0"/>
        <w:rPr>
          <w:rFonts w:asciiTheme="minorHAnsi" w:hAnsiTheme="minorHAnsi"/>
          <w:b/>
        </w:rPr>
      </w:pPr>
    </w:p>
    <w:p w14:paraId="6BF2A336" w14:textId="31451CF9" w:rsidR="004F423B" w:rsidRDefault="000434CA" w:rsidP="000434CA">
      <w:pPr>
        <w:pStyle w:val="Listenabsatz"/>
        <w:numPr>
          <w:ilvl w:val="0"/>
          <w:numId w:val="10"/>
        </w:numPr>
        <w:rPr>
          <w:sz w:val="22"/>
        </w:rPr>
      </w:pPr>
      <w:r w:rsidRPr="0083558B">
        <w:rPr>
          <w:b/>
          <w:sz w:val="22"/>
        </w:rPr>
        <w:t xml:space="preserve">Ingresos de </w:t>
      </w:r>
      <w:r w:rsidR="00541EAC">
        <w:rPr>
          <w:b/>
          <w:sz w:val="22"/>
        </w:rPr>
        <w:t>V</w:t>
      </w:r>
      <w:r w:rsidRPr="0083558B">
        <w:rPr>
          <w:b/>
          <w:sz w:val="22"/>
        </w:rPr>
        <w:t>enta</w:t>
      </w:r>
      <w:r w:rsidR="00376149">
        <w:rPr>
          <w:b/>
          <w:sz w:val="22"/>
        </w:rPr>
        <w:t>s</w:t>
      </w:r>
      <w:r w:rsidRPr="0083558B">
        <w:rPr>
          <w:b/>
          <w:sz w:val="22"/>
        </w:rPr>
        <w:t xml:space="preserve"> de 713 millones de euros</w:t>
      </w:r>
      <w:r>
        <w:rPr>
          <w:sz w:val="22"/>
        </w:rPr>
        <w:t xml:space="preserve"> (FY 2017/2018)</w:t>
      </w:r>
    </w:p>
    <w:p w14:paraId="1B1A963B" w14:textId="7C5D779B" w:rsidR="000434CA" w:rsidRDefault="003064DD" w:rsidP="000434CA">
      <w:pPr>
        <w:pStyle w:val="Listenabsatz"/>
        <w:numPr>
          <w:ilvl w:val="0"/>
          <w:numId w:val="10"/>
        </w:numPr>
        <w:rPr>
          <w:sz w:val="22"/>
        </w:rPr>
      </w:pPr>
      <w:r w:rsidRPr="0083558B">
        <w:rPr>
          <w:b/>
          <w:sz w:val="22"/>
        </w:rPr>
        <w:t>Número de empleados asciende a 3.165 a nivel mundial</w:t>
      </w:r>
      <w:r w:rsidR="00376149">
        <w:rPr>
          <w:sz w:val="22"/>
        </w:rPr>
        <w:t xml:space="preserve"> (al 30 de junio de</w:t>
      </w:r>
      <w:r>
        <w:rPr>
          <w:sz w:val="22"/>
        </w:rPr>
        <w:t xml:space="preserve"> 2018) </w:t>
      </w:r>
    </w:p>
    <w:p w14:paraId="52DFF7F6" w14:textId="42D119D0" w:rsidR="003064DD" w:rsidRPr="0083558B" w:rsidRDefault="00E44D50" w:rsidP="000434CA">
      <w:pPr>
        <w:pStyle w:val="Listenabsatz"/>
        <w:numPr>
          <w:ilvl w:val="0"/>
          <w:numId w:val="10"/>
        </w:numPr>
        <w:rPr>
          <w:b/>
          <w:sz w:val="22"/>
        </w:rPr>
      </w:pPr>
      <w:r w:rsidRPr="0083558B">
        <w:rPr>
          <w:b/>
          <w:sz w:val="22"/>
        </w:rPr>
        <w:t>Inversiones sostenibles</w:t>
      </w:r>
      <w:r w:rsidR="003064DD" w:rsidRPr="0083558B">
        <w:rPr>
          <w:b/>
          <w:sz w:val="22"/>
        </w:rPr>
        <w:t xml:space="preserve"> a futuro</w:t>
      </w:r>
    </w:p>
    <w:p w14:paraId="7E9176E4" w14:textId="1CFCEE22" w:rsidR="003064DD" w:rsidRPr="0083558B" w:rsidRDefault="00541EAC" w:rsidP="000434CA">
      <w:pPr>
        <w:pStyle w:val="Listenabsatz"/>
        <w:numPr>
          <w:ilvl w:val="0"/>
          <w:numId w:val="10"/>
        </w:numPr>
        <w:rPr>
          <w:b/>
          <w:sz w:val="22"/>
        </w:rPr>
      </w:pPr>
      <w:r>
        <w:rPr>
          <w:b/>
          <w:sz w:val="22"/>
        </w:rPr>
        <w:t>El p</w:t>
      </w:r>
      <w:r w:rsidR="00376149">
        <w:rPr>
          <w:b/>
          <w:sz w:val="22"/>
        </w:rPr>
        <w:t>resupuesto para</w:t>
      </w:r>
      <w:r w:rsidR="00E44D50" w:rsidRPr="0083558B">
        <w:rPr>
          <w:b/>
          <w:sz w:val="22"/>
        </w:rPr>
        <w:t xml:space="preserve"> Investigación</w:t>
      </w:r>
      <w:r w:rsidR="009429D4">
        <w:rPr>
          <w:b/>
          <w:sz w:val="22"/>
        </w:rPr>
        <w:t xml:space="preserve"> y Desarrollo se incrementa</w:t>
      </w:r>
      <w:r w:rsidR="00E44D50" w:rsidRPr="0083558B">
        <w:rPr>
          <w:b/>
          <w:sz w:val="22"/>
        </w:rPr>
        <w:t xml:space="preserve"> en un 25% </w:t>
      </w:r>
    </w:p>
    <w:p w14:paraId="19ECEED1" w14:textId="77777777" w:rsidR="004F423B" w:rsidRPr="004F423B" w:rsidRDefault="004F423B" w:rsidP="00036D29">
      <w:pPr>
        <w:spacing w:line="240" w:lineRule="auto"/>
        <w:ind w:left="0"/>
        <w:rPr>
          <w:sz w:val="22"/>
        </w:rPr>
      </w:pPr>
    </w:p>
    <w:p w14:paraId="01FD64B8" w14:textId="09B4313B" w:rsidR="006D7FCA" w:rsidRPr="0083558B" w:rsidRDefault="00E44D50" w:rsidP="004F423B">
      <w:pPr>
        <w:spacing w:line="240" w:lineRule="auto"/>
        <w:ind w:left="0"/>
        <w:rPr>
          <w:sz w:val="22"/>
        </w:rPr>
      </w:pPr>
      <w:r w:rsidRPr="0083558B">
        <w:rPr>
          <w:sz w:val="22"/>
        </w:rPr>
        <w:t>TGW Logistics Group, con sede en M</w:t>
      </w:r>
      <w:r w:rsidR="00DF5EE4" w:rsidRPr="0083558B">
        <w:rPr>
          <w:sz w:val="22"/>
        </w:rPr>
        <w:t>archtrenk, Austria, ha</w:t>
      </w:r>
      <w:r w:rsidR="00EC5BAF" w:rsidRPr="0083558B">
        <w:rPr>
          <w:sz w:val="22"/>
        </w:rPr>
        <w:t xml:space="preserve"> </w:t>
      </w:r>
      <w:r w:rsidR="00541EAC">
        <w:rPr>
          <w:sz w:val="22"/>
        </w:rPr>
        <w:t xml:space="preserve">conseguido una </w:t>
      </w:r>
      <w:r w:rsidR="00790748">
        <w:rPr>
          <w:sz w:val="22"/>
        </w:rPr>
        <w:t>exitosa culminación</w:t>
      </w:r>
      <w:r w:rsidR="00EC5BAF" w:rsidRPr="0083558B">
        <w:rPr>
          <w:sz w:val="22"/>
        </w:rPr>
        <w:t xml:space="preserve"> al </w:t>
      </w:r>
      <w:r w:rsidR="007465B5" w:rsidRPr="0083558B">
        <w:rPr>
          <w:sz w:val="22"/>
        </w:rPr>
        <w:t xml:space="preserve">año fiscal 2017/2018 (1 julio </w:t>
      </w:r>
      <w:r w:rsidR="009429D4">
        <w:rPr>
          <w:sz w:val="22"/>
        </w:rPr>
        <w:t xml:space="preserve">de </w:t>
      </w:r>
      <w:r w:rsidR="007465B5" w:rsidRPr="0083558B">
        <w:rPr>
          <w:sz w:val="22"/>
        </w:rPr>
        <w:t>2017 al 30 de junio</w:t>
      </w:r>
      <w:r w:rsidR="00890F57">
        <w:rPr>
          <w:sz w:val="22"/>
        </w:rPr>
        <w:t xml:space="preserve"> de</w:t>
      </w:r>
      <w:r w:rsidR="007465B5" w:rsidRPr="0083558B">
        <w:rPr>
          <w:sz w:val="22"/>
        </w:rPr>
        <w:t xml:space="preserve"> 2018).</w:t>
      </w:r>
      <w:r w:rsidR="00041D9C" w:rsidRPr="0083558B">
        <w:rPr>
          <w:sz w:val="22"/>
        </w:rPr>
        <w:t xml:space="preserve"> Con un</w:t>
      </w:r>
      <w:r w:rsidR="000A7A2A">
        <w:rPr>
          <w:sz w:val="22"/>
        </w:rPr>
        <w:t>a facturación de</w:t>
      </w:r>
      <w:r w:rsidR="00300BFF">
        <w:rPr>
          <w:sz w:val="22"/>
        </w:rPr>
        <w:t xml:space="preserve"> </w:t>
      </w:r>
      <w:r w:rsidR="00CC2F00" w:rsidRPr="0083558B">
        <w:rPr>
          <w:sz w:val="22"/>
        </w:rPr>
        <w:t xml:space="preserve">713 millones </w:t>
      </w:r>
      <w:r w:rsidR="00541EAC">
        <w:rPr>
          <w:sz w:val="22"/>
        </w:rPr>
        <w:t xml:space="preserve">de euros </w:t>
      </w:r>
      <w:r w:rsidR="00EC471D">
        <w:rPr>
          <w:sz w:val="22"/>
        </w:rPr>
        <w:t>(</w:t>
      </w:r>
      <w:r w:rsidR="00CC2F00" w:rsidRPr="0083558B">
        <w:rPr>
          <w:sz w:val="22"/>
        </w:rPr>
        <w:t>621</w:t>
      </w:r>
      <w:r w:rsidR="00541EAC">
        <w:rPr>
          <w:sz w:val="22"/>
        </w:rPr>
        <w:t xml:space="preserve"> millones de euros</w:t>
      </w:r>
      <w:r w:rsidR="00CC2F00" w:rsidRPr="0083558B">
        <w:rPr>
          <w:sz w:val="22"/>
        </w:rPr>
        <w:t xml:space="preserve"> para el mismo periodo del año </w:t>
      </w:r>
      <w:r w:rsidR="00E717B1">
        <w:rPr>
          <w:sz w:val="22"/>
        </w:rPr>
        <w:t>anterior</w:t>
      </w:r>
      <w:r w:rsidR="00CC2F00" w:rsidRPr="0083558B">
        <w:rPr>
          <w:sz w:val="22"/>
        </w:rPr>
        <w:t xml:space="preserve">), </w:t>
      </w:r>
      <w:r w:rsidR="00DE01B1" w:rsidRPr="0083558B">
        <w:rPr>
          <w:sz w:val="22"/>
        </w:rPr>
        <w:t>los especialistas en intralogística austriacos</w:t>
      </w:r>
      <w:r w:rsidR="0041045D" w:rsidRPr="0083558B">
        <w:rPr>
          <w:sz w:val="22"/>
        </w:rPr>
        <w:t xml:space="preserve"> han alcanzado un incremento de casi 15</w:t>
      </w:r>
      <w:r w:rsidR="00025537">
        <w:rPr>
          <w:sz w:val="22"/>
        </w:rPr>
        <w:t xml:space="preserve"> </w:t>
      </w:r>
      <w:r w:rsidR="00E717B1">
        <w:rPr>
          <w:sz w:val="22"/>
        </w:rPr>
        <w:t xml:space="preserve">por ciento, </w:t>
      </w:r>
      <w:r w:rsidR="009812D4">
        <w:rPr>
          <w:sz w:val="22"/>
        </w:rPr>
        <w:t xml:space="preserve">el equivalente a </w:t>
      </w:r>
      <w:r w:rsidR="0041045D" w:rsidRPr="0083558B">
        <w:rPr>
          <w:sz w:val="22"/>
        </w:rPr>
        <w:t xml:space="preserve">92 millones de euros. Dentro de este periodo, </w:t>
      </w:r>
      <w:r w:rsidR="00AE0387" w:rsidRPr="0083558B">
        <w:rPr>
          <w:sz w:val="22"/>
        </w:rPr>
        <w:t xml:space="preserve">el número de empleados </w:t>
      </w:r>
      <w:r w:rsidR="00462E06" w:rsidRPr="0083558B">
        <w:rPr>
          <w:sz w:val="22"/>
        </w:rPr>
        <w:t>ha crecido</w:t>
      </w:r>
      <w:r w:rsidR="003C5843">
        <w:rPr>
          <w:sz w:val="22"/>
        </w:rPr>
        <w:t xml:space="preserve"> de 2.776 a 3.165;</w:t>
      </w:r>
      <w:r w:rsidR="00BF50D9" w:rsidRPr="0083558B">
        <w:rPr>
          <w:sz w:val="22"/>
        </w:rPr>
        <w:t xml:space="preserve"> aproximadamente</w:t>
      </w:r>
      <w:r w:rsidR="00331B0C" w:rsidRPr="0083558B">
        <w:rPr>
          <w:sz w:val="22"/>
        </w:rPr>
        <w:t xml:space="preserve"> la mitad de esta cifra </w:t>
      </w:r>
      <w:r w:rsidR="0070737C">
        <w:rPr>
          <w:sz w:val="22"/>
        </w:rPr>
        <w:t xml:space="preserve">han sido contratados en las dos </w:t>
      </w:r>
      <w:r w:rsidR="00331B0C" w:rsidRPr="0083558B">
        <w:rPr>
          <w:sz w:val="22"/>
        </w:rPr>
        <w:t xml:space="preserve">locaciones de Alta Austria Wels y Marchtrenk. </w:t>
      </w:r>
      <w:r w:rsidR="009812D4">
        <w:rPr>
          <w:sz w:val="22"/>
        </w:rPr>
        <w:t>Los B</w:t>
      </w:r>
      <w:r w:rsidR="000A7A2A">
        <w:rPr>
          <w:sz w:val="22"/>
        </w:rPr>
        <w:t>eneficios antes de Intereses e I</w:t>
      </w:r>
      <w:r w:rsidR="006D7FCA" w:rsidRPr="0083558B">
        <w:rPr>
          <w:sz w:val="22"/>
        </w:rPr>
        <w:t xml:space="preserve">mpuestos son de 36.6 millones de euros. </w:t>
      </w:r>
    </w:p>
    <w:p w14:paraId="0F6EE60A" w14:textId="77777777" w:rsidR="006D7FCA" w:rsidRDefault="006D7FCA" w:rsidP="004F423B">
      <w:pPr>
        <w:spacing w:line="240" w:lineRule="auto"/>
        <w:ind w:left="0"/>
        <w:rPr>
          <w:sz w:val="22"/>
        </w:rPr>
      </w:pPr>
    </w:p>
    <w:p w14:paraId="4E2EAECC" w14:textId="3B289CBF" w:rsidR="005009D2" w:rsidRDefault="00293E15" w:rsidP="004F423B">
      <w:pPr>
        <w:spacing w:line="240" w:lineRule="auto"/>
        <w:ind w:left="0"/>
        <w:rPr>
          <w:sz w:val="22"/>
        </w:rPr>
      </w:pPr>
      <w:r>
        <w:rPr>
          <w:sz w:val="22"/>
        </w:rPr>
        <w:t xml:space="preserve">Adicionalmente, </w:t>
      </w:r>
      <w:r w:rsidR="005F0F17">
        <w:rPr>
          <w:sz w:val="22"/>
        </w:rPr>
        <w:t xml:space="preserve">TGW ha invertido en su futuro </w:t>
      </w:r>
      <w:r w:rsidR="002C23D4">
        <w:rPr>
          <w:sz w:val="22"/>
        </w:rPr>
        <w:t xml:space="preserve">sustentable e incrementado su </w:t>
      </w:r>
      <w:r w:rsidR="004D2926">
        <w:rPr>
          <w:sz w:val="22"/>
        </w:rPr>
        <w:t xml:space="preserve">presupuesto de </w:t>
      </w:r>
      <w:r w:rsidR="002C23D4">
        <w:rPr>
          <w:sz w:val="22"/>
        </w:rPr>
        <w:t>investigación</w:t>
      </w:r>
      <w:r w:rsidR="004D2926">
        <w:rPr>
          <w:sz w:val="22"/>
        </w:rPr>
        <w:t xml:space="preserve"> </w:t>
      </w:r>
      <w:r w:rsidR="00984BDC">
        <w:rPr>
          <w:sz w:val="22"/>
        </w:rPr>
        <w:t>y desarrollo en varios millones</w:t>
      </w:r>
      <w:r w:rsidR="00E717B1">
        <w:rPr>
          <w:sz w:val="22"/>
        </w:rPr>
        <w:t xml:space="preserve"> de euros</w:t>
      </w:r>
      <w:r w:rsidR="00984BDC">
        <w:rPr>
          <w:sz w:val="22"/>
        </w:rPr>
        <w:t xml:space="preserve">. Se han invertido en el pasado </w:t>
      </w:r>
      <w:r w:rsidR="0070060E">
        <w:rPr>
          <w:sz w:val="22"/>
        </w:rPr>
        <w:t xml:space="preserve">año financiero 24.2 millones de </w:t>
      </w:r>
      <w:r w:rsidR="00E717B1">
        <w:rPr>
          <w:sz w:val="22"/>
        </w:rPr>
        <w:t xml:space="preserve">euros </w:t>
      </w:r>
      <w:r w:rsidR="0070060E">
        <w:rPr>
          <w:sz w:val="22"/>
        </w:rPr>
        <w:t xml:space="preserve">en sistemas innovadores y soluciones </w:t>
      </w:r>
      <w:r w:rsidR="00F67708">
        <w:rPr>
          <w:sz w:val="22"/>
        </w:rPr>
        <w:t xml:space="preserve">a futuro. </w:t>
      </w:r>
      <w:r w:rsidR="0070060E">
        <w:rPr>
          <w:sz w:val="22"/>
        </w:rPr>
        <w:t xml:space="preserve">Como lo subraya </w:t>
      </w:r>
      <w:r w:rsidR="0070060E" w:rsidRPr="0083558B">
        <w:rPr>
          <w:b/>
          <w:sz w:val="22"/>
        </w:rPr>
        <w:t>Harald Schröpf</w:t>
      </w:r>
      <w:r w:rsidR="0070060E">
        <w:rPr>
          <w:sz w:val="22"/>
        </w:rPr>
        <w:t>, CEO de T</w:t>
      </w:r>
      <w:r w:rsidR="005009D2">
        <w:rPr>
          <w:sz w:val="22"/>
        </w:rPr>
        <w:t xml:space="preserve">GW Logistics Group: </w:t>
      </w:r>
    </w:p>
    <w:p w14:paraId="7FC15297" w14:textId="77777777" w:rsidR="005009D2" w:rsidRDefault="005009D2" w:rsidP="004F423B">
      <w:pPr>
        <w:spacing w:line="240" w:lineRule="auto"/>
        <w:ind w:left="0"/>
        <w:rPr>
          <w:sz w:val="22"/>
        </w:rPr>
      </w:pPr>
    </w:p>
    <w:p w14:paraId="4EC84AF9" w14:textId="0690D634" w:rsidR="003C79E3" w:rsidRDefault="0070060E" w:rsidP="0021050D">
      <w:pPr>
        <w:spacing w:line="240" w:lineRule="auto"/>
        <w:ind w:right="851"/>
        <w:rPr>
          <w:sz w:val="22"/>
        </w:rPr>
      </w:pPr>
      <w:r>
        <w:rPr>
          <w:sz w:val="22"/>
        </w:rPr>
        <w:t xml:space="preserve"> </w:t>
      </w:r>
      <w:r w:rsidR="004D2926">
        <w:rPr>
          <w:sz w:val="22"/>
        </w:rPr>
        <w:t xml:space="preserve"> </w:t>
      </w:r>
      <w:r w:rsidR="002C23D4">
        <w:rPr>
          <w:sz w:val="22"/>
        </w:rPr>
        <w:t xml:space="preserve"> </w:t>
      </w:r>
      <w:r w:rsidR="00AE0387">
        <w:rPr>
          <w:sz w:val="22"/>
        </w:rPr>
        <w:t xml:space="preserve"> </w:t>
      </w:r>
      <w:r w:rsidR="0041045D">
        <w:rPr>
          <w:sz w:val="22"/>
        </w:rPr>
        <w:t xml:space="preserve">  </w:t>
      </w:r>
      <w:r w:rsidR="00DE01B1">
        <w:rPr>
          <w:sz w:val="22"/>
        </w:rPr>
        <w:t xml:space="preserve"> </w:t>
      </w:r>
      <w:r w:rsidR="00CC2F00">
        <w:rPr>
          <w:sz w:val="22"/>
        </w:rPr>
        <w:t xml:space="preserve"> </w:t>
      </w:r>
      <w:r w:rsidR="00EC5BAF">
        <w:rPr>
          <w:sz w:val="22"/>
        </w:rPr>
        <w:t xml:space="preserve">   </w:t>
      </w:r>
      <w:r w:rsidR="00DF5EE4">
        <w:rPr>
          <w:sz w:val="22"/>
        </w:rPr>
        <w:t xml:space="preserve"> </w:t>
      </w:r>
      <w:r w:rsidR="005009D2">
        <w:rPr>
          <w:sz w:val="22"/>
        </w:rPr>
        <w:t>“</w:t>
      </w:r>
      <w:r w:rsidR="000B56A5">
        <w:rPr>
          <w:sz w:val="22"/>
        </w:rPr>
        <w:t xml:space="preserve">Continuaremos </w:t>
      </w:r>
      <w:r w:rsidR="00217EE5">
        <w:rPr>
          <w:sz w:val="22"/>
        </w:rPr>
        <w:t xml:space="preserve">por este camino en el </w:t>
      </w:r>
      <w:r w:rsidR="0076552F">
        <w:rPr>
          <w:sz w:val="22"/>
        </w:rPr>
        <w:t xml:space="preserve">actual </w:t>
      </w:r>
      <w:r w:rsidR="00217EE5">
        <w:rPr>
          <w:sz w:val="22"/>
        </w:rPr>
        <w:t>año fiscal 2018/2019, - incluyendo</w:t>
      </w:r>
      <w:r w:rsidR="0076552F">
        <w:rPr>
          <w:sz w:val="22"/>
        </w:rPr>
        <w:t xml:space="preserve"> nuestro foco</w:t>
      </w:r>
      <w:r w:rsidR="009D6D93">
        <w:rPr>
          <w:sz w:val="22"/>
        </w:rPr>
        <w:t xml:space="preserve"> en</w:t>
      </w:r>
      <w:r w:rsidR="0076552F">
        <w:rPr>
          <w:sz w:val="22"/>
        </w:rPr>
        <w:t xml:space="preserve"> </w:t>
      </w:r>
      <w:r w:rsidR="001B4554">
        <w:rPr>
          <w:sz w:val="22"/>
        </w:rPr>
        <w:t>l</w:t>
      </w:r>
      <w:r w:rsidR="00217EE5">
        <w:rPr>
          <w:sz w:val="22"/>
        </w:rPr>
        <w:t>a robótica</w:t>
      </w:r>
      <w:r w:rsidR="001B4554">
        <w:rPr>
          <w:sz w:val="22"/>
        </w:rPr>
        <w:t xml:space="preserve"> y sistemas cognitivos</w:t>
      </w:r>
      <w:r w:rsidR="0076552F">
        <w:rPr>
          <w:sz w:val="22"/>
        </w:rPr>
        <w:t xml:space="preserve">. </w:t>
      </w:r>
      <w:r w:rsidR="00332D55">
        <w:rPr>
          <w:sz w:val="22"/>
        </w:rPr>
        <w:t>Nuestra</w:t>
      </w:r>
      <w:r w:rsidR="009D6D93">
        <w:rPr>
          <w:sz w:val="22"/>
        </w:rPr>
        <w:t xml:space="preserve"> innovación</w:t>
      </w:r>
      <w:r w:rsidR="002B22FA">
        <w:rPr>
          <w:sz w:val="22"/>
        </w:rPr>
        <w:t xml:space="preserve"> digital</w:t>
      </w:r>
      <w:r w:rsidR="009D6D93">
        <w:rPr>
          <w:sz w:val="22"/>
        </w:rPr>
        <w:t xml:space="preserve"> creada en el </w:t>
      </w:r>
      <w:r w:rsidR="00B7209A">
        <w:rPr>
          <w:sz w:val="22"/>
        </w:rPr>
        <w:t>2018</w:t>
      </w:r>
      <w:r w:rsidR="004F0335">
        <w:rPr>
          <w:sz w:val="22"/>
        </w:rPr>
        <w:t xml:space="preserve">, suministrará un ímpetu </w:t>
      </w:r>
      <w:r w:rsidR="00B43D72">
        <w:rPr>
          <w:sz w:val="22"/>
        </w:rPr>
        <w:t>adicional</w:t>
      </w:r>
      <w:r w:rsidR="00332D55">
        <w:rPr>
          <w:sz w:val="22"/>
        </w:rPr>
        <w:t xml:space="preserve"> en el área de almacenamiento enlazado y mantenimiento predictivo.</w:t>
      </w:r>
      <w:r w:rsidR="00445CA9">
        <w:rPr>
          <w:sz w:val="22"/>
        </w:rPr>
        <w:t xml:space="preserve"> En </w:t>
      </w:r>
      <w:r w:rsidR="004D551D">
        <w:rPr>
          <w:sz w:val="22"/>
        </w:rPr>
        <w:t xml:space="preserve">general, </w:t>
      </w:r>
      <w:r w:rsidR="0021050D">
        <w:rPr>
          <w:sz w:val="22"/>
        </w:rPr>
        <w:t>hemos incrementado</w:t>
      </w:r>
      <w:r w:rsidR="003C79E3">
        <w:rPr>
          <w:sz w:val="22"/>
        </w:rPr>
        <w:t xml:space="preserve"> nuestro presupuesto de investigación y desarrollo para el actual año fiscal en casi un 25 por ciento. La mayor parte de estos fondos </w:t>
      </w:r>
      <w:r w:rsidR="00355408">
        <w:rPr>
          <w:sz w:val="22"/>
        </w:rPr>
        <w:t xml:space="preserve">se invirtieron </w:t>
      </w:r>
      <w:r w:rsidR="003C79E3">
        <w:rPr>
          <w:sz w:val="22"/>
        </w:rPr>
        <w:t xml:space="preserve">en Austria”. </w:t>
      </w:r>
    </w:p>
    <w:p w14:paraId="5EC29C9B" w14:textId="40E2A2A3" w:rsidR="003C79E3" w:rsidRDefault="003C79E3" w:rsidP="0021050D">
      <w:pPr>
        <w:spacing w:line="240" w:lineRule="auto"/>
        <w:ind w:right="851"/>
        <w:rPr>
          <w:sz w:val="22"/>
        </w:rPr>
      </w:pPr>
    </w:p>
    <w:p w14:paraId="518613A4" w14:textId="77777777" w:rsidR="003C79E3" w:rsidRDefault="003C79E3" w:rsidP="0021050D">
      <w:pPr>
        <w:spacing w:line="240" w:lineRule="auto"/>
        <w:ind w:right="851"/>
        <w:rPr>
          <w:sz w:val="22"/>
        </w:rPr>
      </w:pPr>
    </w:p>
    <w:p w14:paraId="266188BF" w14:textId="3CBABF8B" w:rsidR="0083558B" w:rsidRDefault="002844E7" w:rsidP="002844E7">
      <w:pPr>
        <w:spacing w:line="240" w:lineRule="auto"/>
        <w:ind w:left="0"/>
        <w:rPr>
          <w:sz w:val="22"/>
        </w:rPr>
      </w:pPr>
      <w:r>
        <w:rPr>
          <w:sz w:val="22"/>
        </w:rPr>
        <w:t>La implementaci</w:t>
      </w:r>
      <w:r w:rsidR="007F5927">
        <w:rPr>
          <w:sz w:val="22"/>
        </w:rPr>
        <w:t xml:space="preserve">ón del programa </w:t>
      </w:r>
      <w:r w:rsidR="00300BFF">
        <w:rPr>
          <w:sz w:val="22"/>
        </w:rPr>
        <w:t xml:space="preserve">empresarial de participación </w:t>
      </w:r>
      <w:r w:rsidR="007F5927">
        <w:rPr>
          <w:sz w:val="22"/>
        </w:rPr>
        <w:t xml:space="preserve">de </w:t>
      </w:r>
      <w:r w:rsidR="004E5D72">
        <w:rPr>
          <w:sz w:val="22"/>
        </w:rPr>
        <w:t xml:space="preserve">los empleados </w:t>
      </w:r>
      <w:r w:rsidR="00C76B83">
        <w:rPr>
          <w:sz w:val="22"/>
        </w:rPr>
        <w:t xml:space="preserve">representa </w:t>
      </w:r>
      <w:r w:rsidR="0013109E">
        <w:rPr>
          <w:sz w:val="22"/>
        </w:rPr>
        <w:t>otro objetivo</w:t>
      </w:r>
      <w:r w:rsidR="00CD444C">
        <w:rPr>
          <w:sz w:val="22"/>
        </w:rPr>
        <w:t xml:space="preserve"> importante;</w:t>
      </w:r>
      <w:r w:rsidR="002D70FC">
        <w:rPr>
          <w:sz w:val="22"/>
        </w:rPr>
        <w:t xml:space="preserve"> </w:t>
      </w:r>
      <w:r w:rsidR="00D65D2F">
        <w:rPr>
          <w:sz w:val="22"/>
        </w:rPr>
        <w:t>4.1 millo</w:t>
      </w:r>
      <w:r w:rsidR="003F694C">
        <w:rPr>
          <w:sz w:val="22"/>
        </w:rPr>
        <w:t>nes de euros han sido asignados de los r</w:t>
      </w:r>
      <w:r w:rsidR="0013109E">
        <w:rPr>
          <w:sz w:val="22"/>
        </w:rPr>
        <w:t xml:space="preserve">esultados del pasado año fiscal </w:t>
      </w:r>
      <w:r w:rsidR="00445CA9">
        <w:rPr>
          <w:sz w:val="22"/>
        </w:rPr>
        <w:t xml:space="preserve">al programa de participación de los empleados. A fin de </w:t>
      </w:r>
      <w:r w:rsidR="001E0675">
        <w:rPr>
          <w:sz w:val="22"/>
        </w:rPr>
        <w:t xml:space="preserve">dar una respuesta a la </w:t>
      </w:r>
      <w:r w:rsidR="00445CA9">
        <w:rPr>
          <w:sz w:val="22"/>
        </w:rPr>
        <w:t xml:space="preserve">falta de trabajadores </w:t>
      </w:r>
      <w:r w:rsidR="001E0675">
        <w:rPr>
          <w:sz w:val="22"/>
        </w:rPr>
        <w:t>capacitados</w:t>
      </w:r>
      <w:r w:rsidR="00EB5278">
        <w:rPr>
          <w:sz w:val="22"/>
        </w:rPr>
        <w:t xml:space="preserve"> en la localidad, </w:t>
      </w:r>
      <w:r w:rsidR="00E91D0D">
        <w:rPr>
          <w:sz w:val="22"/>
        </w:rPr>
        <w:t>los g</w:t>
      </w:r>
      <w:r w:rsidR="0035766A">
        <w:rPr>
          <w:sz w:val="22"/>
        </w:rPr>
        <w:t xml:space="preserve">astos generados por </w:t>
      </w:r>
      <w:r w:rsidR="0035766A" w:rsidRPr="0022605A">
        <w:rPr>
          <w:b/>
          <w:sz w:val="22"/>
        </w:rPr>
        <w:t xml:space="preserve">la capacitación y formación </w:t>
      </w:r>
      <w:r w:rsidR="0022605A" w:rsidRPr="0022605A">
        <w:rPr>
          <w:b/>
          <w:sz w:val="22"/>
        </w:rPr>
        <w:t xml:space="preserve">interna </w:t>
      </w:r>
      <w:r w:rsidR="0035766A" w:rsidRPr="0022605A">
        <w:rPr>
          <w:b/>
          <w:sz w:val="22"/>
        </w:rPr>
        <w:t>constante</w:t>
      </w:r>
      <w:r w:rsidR="0035766A">
        <w:rPr>
          <w:sz w:val="22"/>
        </w:rPr>
        <w:t xml:space="preserve"> </w:t>
      </w:r>
      <w:r w:rsidR="00E64D25">
        <w:rPr>
          <w:sz w:val="22"/>
        </w:rPr>
        <w:t>(“</w:t>
      </w:r>
      <w:r w:rsidR="002B22FA">
        <w:rPr>
          <w:sz w:val="22"/>
        </w:rPr>
        <w:t>Academia TGW</w:t>
      </w:r>
      <w:r w:rsidR="00E64D25">
        <w:rPr>
          <w:sz w:val="22"/>
        </w:rPr>
        <w:t>”</w:t>
      </w:r>
      <w:r w:rsidR="0035766A">
        <w:rPr>
          <w:sz w:val="22"/>
        </w:rPr>
        <w:t>),</w:t>
      </w:r>
      <w:r w:rsidR="00BE3CA9">
        <w:rPr>
          <w:sz w:val="22"/>
        </w:rPr>
        <w:t xml:space="preserve"> </w:t>
      </w:r>
      <w:r w:rsidR="0050725B">
        <w:rPr>
          <w:sz w:val="22"/>
        </w:rPr>
        <w:t xml:space="preserve">se han </w:t>
      </w:r>
      <w:r w:rsidR="00BE3CA9">
        <w:rPr>
          <w:sz w:val="22"/>
        </w:rPr>
        <w:t>incrementado</w:t>
      </w:r>
      <w:r w:rsidR="0050725B">
        <w:rPr>
          <w:sz w:val="22"/>
        </w:rPr>
        <w:t xml:space="preserve">. </w:t>
      </w:r>
      <w:r w:rsidR="00387FE1">
        <w:rPr>
          <w:sz w:val="22"/>
        </w:rPr>
        <w:t>Para el actual año fiscal, que comenz</w:t>
      </w:r>
      <w:r w:rsidR="000C3C7D">
        <w:rPr>
          <w:sz w:val="22"/>
        </w:rPr>
        <w:t xml:space="preserve">ó el 01 de julio 2018, Harald </w:t>
      </w:r>
      <w:r w:rsidR="000C3C7D" w:rsidRPr="000C3C7D">
        <w:rPr>
          <w:sz w:val="22"/>
        </w:rPr>
        <w:t>Schröpf</w:t>
      </w:r>
      <w:r w:rsidR="000C3C7D">
        <w:rPr>
          <w:sz w:val="22"/>
        </w:rPr>
        <w:t xml:space="preserve"> también pronostica desarrollos positivos para TGW. De esta manera, la empresa continuará</w:t>
      </w:r>
      <w:r w:rsidR="00272CD8">
        <w:rPr>
          <w:sz w:val="22"/>
        </w:rPr>
        <w:t xml:space="preserve"> su crecimiento </w:t>
      </w:r>
      <w:r w:rsidR="009079AD">
        <w:rPr>
          <w:sz w:val="22"/>
        </w:rPr>
        <w:t xml:space="preserve">estable, tal como lo ha experimentado en los </w:t>
      </w:r>
      <w:r w:rsidR="006A5FC3">
        <w:rPr>
          <w:sz w:val="22"/>
        </w:rPr>
        <w:t>últimos años. Actualmente</w:t>
      </w:r>
      <w:r w:rsidR="00FA4FF4">
        <w:rPr>
          <w:sz w:val="22"/>
        </w:rPr>
        <w:t xml:space="preserve"> TGW, </w:t>
      </w:r>
      <w:r w:rsidR="007F603A">
        <w:rPr>
          <w:sz w:val="22"/>
        </w:rPr>
        <w:lastRenderedPageBreak/>
        <w:t>una empresa que suministra</w:t>
      </w:r>
      <w:r w:rsidR="0083558B">
        <w:rPr>
          <w:sz w:val="22"/>
        </w:rPr>
        <w:t xml:space="preserve"> soluciones de si</w:t>
      </w:r>
      <w:r w:rsidR="007818CE">
        <w:rPr>
          <w:sz w:val="22"/>
        </w:rPr>
        <w:t>stemas integrados, busca</w:t>
      </w:r>
      <w:r w:rsidR="0083558B">
        <w:rPr>
          <w:sz w:val="22"/>
        </w:rPr>
        <w:t xml:space="preserve"> 400 nuevos empleados, </w:t>
      </w:r>
      <w:r w:rsidR="00852BFE">
        <w:rPr>
          <w:sz w:val="22"/>
        </w:rPr>
        <w:t xml:space="preserve">200 de ellos para sus dos locaciones en Alta Austria Wels y Marchtrenk. </w:t>
      </w:r>
      <w:r w:rsidR="0083558B">
        <w:rPr>
          <w:sz w:val="22"/>
        </w:rPr>
        <w:t xml:space="preserve"> </w:t>
      </w:r>
    </w:p>
    <w:p w14:paraId="2B6CFD33" w14:textId="77777777" w:rsidR="0083558B" w:rsidRDefault="0083558B" w:rsidP="002844E7">
      <w:pPr>
        <w:spacing w:line="240" w:lineRule="auto"/>
        <w:ind w:left="0"/>
        <w:rPr>
          <w:sz w:val="22"/>
        </w:rPr>
      </w:pPr>
    </w:p>
    <w:p w14:paraId="32ABEDC6" w14:textId="38346F2B" w:rsidR="0083558B" w:rsidRPr="00852BFE" w:rsidRDefault="0083558B" w:rsidP="002844E7">
      <w:pPr>
        <w:spacing w:line="240" w:lineRule="auto"/>
        <w:ind w:left="0"/>
        <w:rPr>
          <w:b/>
          <w:sz w:val="22"/>
        </w:rPr>
      </w:pPr>
      <w:r w:rsidRPr="00852BFE">
        <w:rPr>
          <w:b/>
          <w:sz w:val="22"/>
        </w:rPr>
        <w:t>Locac</w:t>
      </w:r>
      <w:r w:rsidR="00852BFE" w:rsidRPr="00852BFE">
        <w:rPr>
          <w:b/>
          <w:sz w:val="22"/>
        </w:rPr>
        <w:t xml:space="preserve">iones: Nacional e Internacional </w:t>
      </w:r>
    </w:p>
    <w:p w14:paraId="4EAA0B0E" w14:textId="5420161D" w:rsidR="00852BFE" w:rsidRDefault="00852BFE" w:rsidP="002844E7">
      <w:pPr>
        <w:spacing w:line="240" w:lineRule="auto"/>
        <w:ind w:left="0"/>
        <w:rPr>
          <w:sz w:val="22"/>
        </w:rPr>
      </w:pPr>
    </w:p>
    <w:p w14:paraId="5D798DDA" w14:textId="41094CC7" w:rsidR="00852BFE" w:rsidRDefault="00852BFE" w:rsidP="00852BFE">
      <w:pPr>
        <w:tabs>
          <w:tab w:val="left" w:pos="7797"/>
        </w:tabs>
        <w:ind w:left="0" w:right="589"/>
        <w:rPr>
          <w:sz w:val="22"/>
        </w:rPr>
      </w:pPr>
      <w:r>
        <w:rPr>
          <w:sz w:val="22"/>
        </w:rPr>
        <w:t>En junio de 2018, 700 empleados s</w:t>
      </w:r>
      <w:r w:rsidR="006A5FC3">
        <w:rPr>
          <w:sz w:val="22"/>
        </w:rPr>
        <w:t>e trasladaron a su nueva sede</w:t>
      </w:r>
      <w:r>
        <w:rPr>
          <w:sz w:val="22"/>
        </w:rPr>
        <w:t xml:space="preserve">, que lleva por nombre Parque de Evolución de TGW en Marchtrenk, Alta Austria. </w:t>
      </w:r>
      <w:r w:rsidRPr="00852BFE">
        <w:rPr>
          <w:b/>
          <w:sz w:val="22"/>
        </w:rPr>
        <w:t>Jörg Scheithauer</w:t>
      </w:r>
      <w:r w:rsidRPr="00852BFE">
        <w:rPr>
          <w:sz w:val="22"/>
        </w:rPr>
        <w:t xml:space="preserve">, CFO </w:t>
      </w:r>
      <w:r>
        <w:rPr>
          <w:sz w:val="22"/>
        </w:rPr>
        <w:t>del</w:t>
      </w:r>
      <w:r w:rsidRPr="00852BFE">
        <w:rPr>
          <w:sz w:val="22"/>
        </w:rPr>
        <w:t xml:space="preserve"> </w:t>
      </w:r>
      <w:r>
        <w:rPr>
          <w:sz w:val="22"/>
        </w:rPr>
        <w:t xml:space="preserve">TGW Logistics Group, explica: </w:t>
      </w:r>
    </w:p>
    <w:p w14:paraId="0AB2AEB7" w14:textId="07778BD8" w:rsidR="00852BFE" w:rsidRDefault="00852BFE" w:rsidP="00852BFE">
      <w:pPr>
        <w:tabs>
          <w:tab w:val="left" w:pos="7797"/>
        </w:tabs>
        <w:ind w:left="0" w:right="589"/>
        <w:rPr>
          <w:sz w:val="22"/>
        </w:rPr>
      </w:pPr>
    </w:p>
    <w:p w14:paraId="7DCF20F9" w14:textId="51EB7B24" w:rsidR="00932BAB" w:rsidRDefault="00852BFE" w:rsidP="00A92218">
      <w:pPr>
        <w:tabs>
          <w:tab w:val="left" w:pos="7797"/>
        </w:tabs>
        <w:spacing w:line="240" w:lineRule="auto"/>
        <w:ind w:right="851"/>
        <w:rPr>
          <w:sz w:val="22"/>
        </w:rPr>
      </w:pPr>
      <w:r>
        <w:rPr>
          <w:sz w:val="22"/>
        </w:rPr>
        <w:t xml:space="preserve">“Con un volumen de inversión de 55 millones de euros, </w:t>
      </w:r>
      <w:r w:rsidR="009114A8">
        <w:rPr>
          <w:sz w:val="22"/>
        </w:rPr>
        <w:t>esta nueva sede ofrece</w:t>
      </w:r>
      <w:r w:rsidR="00A92218">
        <w:rPr>
          <w:sz w:val="22"/>
        </w:rPr>
        <w:t xml:space="preserve"> </w:t>
      </w:r>
      <w:r w:rsidR="00B14E61">
        <w:rPr>
          <w:sz w:val="22"/>
        </w:rPr>
        <w:t xml:space="preserve">un ambiente de trabajo y vida </w:t>
      </w:r>
      <w:r w:rsidR="00CB25A7">
        <w:rPr>
          <w:sz w:val="22"/>
        </w:rPr>
        <w:t>vanguardista, brindando un concepto de trabajo</w:t>
      </w:r>
      <w:r w:rsidR="003933E5">
        <w:rPr>
          <w:sz w:val="22"/>
        </w:rPr>
        <w:t xml:space="preserve"> fundado en actividades, </w:t>
      </w:r>
      <w:r w:rsidR="00B91E4B">
        <w:rPr>
          <w:sz w:val="22"/>
        </w:rPr>
        <w:t xml:space="preserve">unido a un equipo de </w:t>
      </w:r>
      <w:r w:rsidR="003933E5">
        <w:rPr>
          <w:sz w:val="22"/>
        </w:rPr>
        <w:t>calidad basado en una tecnología ambientalmente amigable</w:t>
      </w:r>
      <w:r w:rsidR="00DD0CF1">
        <w:rPr>
          <w:sz w:val="22"/>
        </w:rPr>
        <w:t xml:space="preserve">. </w:t>
      </w:r>
      <w:r w:rsidR="00932BAB">
        <w:rPr>
          <w:sz w:val="22"/>
        </w:rPr>
        <w:t>Adicionalmente, el servicio de guardería corporativo abrió sus puertas en octubre de 2018. En la locación de Wels, más de dos millones de euros han sido invertidos en la modernización adicional de estructuras y mejora de nuestras instalaciones de producción, como también las oficinas”.</w:t>
      </w:r>
    </w:p>
    <w:p w14:paraId="7269DDB9" w14:textId="77777777" w:rsidR="00932BAB" w:rsidRDefault="00932BAB" w:rsidP="00A92218">
      <w:pPr>
        <w:tabs>
          <w:tab w:val="left" w:pos="7797"/>
        </w:tabs>
        <w:spacing w:line="240" w:lineRule="auto"/>
        <w:ind w:right="851"/>
        <w:rPr>
          <w:sz w:val="22"/>
        </w:rPr>
      </w:pPr>
    </w:p>
    <w:p w14:paraId="74FDC2F4" w14:textId="06463013" w:rsidR="004965A9" w:rsidRDefault="002C1BF5" w:rsidP="0021050D">
      <w:pPr>
        <w:spacing w:line="240" w:lineRule="auto"/>
        <w:ind w:right="851"/>
        <w:rPr>
          <w:sz w:val="22"/>
        </w:rPr>
      </w:pPr>
      <w:r>
        <w:rPr>
          <w:sz w:val="22"/>
        </w:rPr>
        <w:t xml:space="preserve">Se han abierto nuevas oficinas locales en Atlanta, Seattle, y Paris, con el propósito de servir estos importantes mercados de crecimiento de la mejor manera posible. </w:t>
      </w:r>
      <w:r w:rsidR="001B7B1E">
        <w:rPr>
          <w:sz w:val="22"/>
        </w:rPr>
        <w:t>La subsidiaria TGW Systems Inc.</w:t>
      </w:r>
      <w:r>
        <w:rPr>
          <w:sz w:val="22"/>
        </w:rPr>
        <w:t xml:space="preserve"> </w:t>
      </w:r>
      <w:r w:rsidR="00DD0CF1">
        <w:rPr>
          <w:sz w:val="22"/>
        </w:rPr>
        <w:t xml:space="preserve">ubicada en Estados Unidos, </w:t>
      </w:r>
      <w:r>
        <w:rPr>
          <w:sz w:val="22"/>
        </w:rPr>
        <w:t xml:space="preserve">adquirió una obra en Michigan, </w:t>
      </w:r>
      <w:r w:rsidR="0048419C">
        <w:rPr>
          <w:sz w:val="22"/>
        </w:rPr>
        <w:t>con una superficie de 16,000 metros cuadrados. La transición de la ubicaci</w:t>
      </w:r>
      <w:r w:rsidR="00632FE1">
        <w:rPr>
          <w:sz w:val="22"/>
        </w:rPr>
        <w:t>ón actual de la empresa</w:t>
      </w:r>
      <w:r w:rsidR="00063248">
        <w:rPr>
          <w:sz w:val="22"/>
        </w:rPr>
        <w:t xml:space="preserve"> en Spring Lake comenzará a finales de octubre 2018. Esto fortalecerá</w:t>
      </w:r>
      <w:r w:rsidR="00B72997">
        <w:rPr>
          <w:sz w:val="22"/>
        </w:rPr>
        <w:t xml:space="preserve"> la alianza de producción global entre Austria y China como también suministrar suficiente espacio para apoy</w:t>
      </w:r>
      <w:r w:rsidR="000E1A08">
        <w:rPr>
          <w:sz w:val="22"/>
        </w:rPr>
        <w:t>ar el crecimiento de la empresa en los Estados Unidos. E</w:t>
      </w:r>
      <w:r w:rsidR="004965A9">
        <w:rPr>
          <w:sz w:val="22"/>
        </w:rPr>
        <w:t xml:space="preserve">n total, el grupo TGW tiene ahora una red internacional de 26 oficinas en tres continentes. </w:t>
      </w:r>
    </w:p>
    <w:p w14:paraId="3C206B0C" w14:textId="77777777" w:rsidR="004965A9" w:rsidRDefault="004965A9" w:rsidP="0021050D">
      <w:pPr>
        <w:spacing w:line="240" w:lineRule="auto"/>
        <w:ind w:right="851"/>
        <w:rPr>
          <w:sz w:val="22"/>
        </w:rPr>
      </w:pPr>
    </w:p>
    <w:p w14:paraId="57609C1A" w14:textId="77777777" w:rsidR="00B4371F" w:rsidRPr="001B7B1E" w:rsidRDefault="004965A9" w:rsidP="0021050D">
      <w:pPr>
        <w:spacing w:line="240" w:lineRule="auto"/>
        <w:ind w:right="851"/>
        <w:rPr>
          <w:b/>
          <w:sz w:val="22"/>
        </w:rPr>
      </w:pPr>
      <w:r w:rsidRPr="004965A9">
        <w:rPr>
          <w:b/>
          <w:sz w:val="22"/>
        </w:rPr>
        <w:t>TGW:</w:t>
      </w:r>
      <w:r>
        <w:rPr>
          <w:sz w:val="22"/>
        </w:rPr>
        <w:t xml:space="preserve"> </w:t>
      </w:r>
      <w:r w:rsidRPr="001B7B1E">
        <w:rPr>
          <w:b/>
          <w:sz w:val="22"/>
        </w:rPr>
        <w:t xml:space="preserve">Un </w:t>
      </w:r>
      <w:r w:rsidR="00B4371F" w:rsidRPr="001B7B1E">
        <w:rPr>
          <w:b/>
          <w:sz w:val="22"/>
        </w:rPr>
        <w:t xml:space="preserve">importante </w:t>
      </w:r>
      <w:r w:rsidRPr="001B7B1E">
        <w:rPr>
          <w:b/>
          <w:sz w:val="22"/>
        </w:rPr>
        <w:t>empleador</w:t>
      </w:r>
      <w:r w:rsidR="00B4371F" w:rsidRPr="001B7B1E">
        <w:rPr>
          <w:b/>
          <w:sz w:val="22"/>
        </w:rPr>
        <w:t xml:space="preserve"> de software</w:t>
      </w:r>
    </w:p>
    <w:p w14:paraId="7D72FCBC" w14:textId="77777777" w:rsidR="00B4371F" w:rsidRDefault="00B4371F" w:rsidP="0021050D">
      <w:pPr>
        <w:spacing w:line="240" w:lineRule="auto"/>
        <w:ind w:right="851"/>
        <w:rPr>
          <w:sz w:val="22"/>
        </w:rPr>
      </w:pPr>
    </w:p>
    <w:p w14:paraId="6959A406" w14:textId="1FEC1C3D" w:rsidR="00924A0C" w:rsidRDefault="00FB08AC" w:rsidP="0021050D">
      <w:pPr>
        <w:spacing w:line="240" w:lineRule="auto"/>
        <w:ind w:right="851"/>
        <w:rPr>
          <w:sz w:val="22"/>
        </w:rPr>
      </w:pPr>
      <w:r>
        <w:rPr>
          <w:sz w:val="22"/>
        </w:rPr>
        <w:t>Un componente central del desarrollo de la empresa</w:t>
      </w:r>
      <w:r w:rsidR="00944644">
        <w:rPr>
          <w:sz w:val="22"/>
        </w:rPr>
        <w:t xml:space="preserve"> es la experticia en software,</w:t>
      </w:r>
      <w:r w:rsidR="00924A0C">
        <w:rPr>
          <w:sz w:val="22"/>
        </w:rPr>
        <w:t xml:space="preserve"> una línea de negocio que ha crecido </w:t>
      </w:r>
      <w:r w:rsidR="00767496">
        <w:rPr>
          <w:sz w:val="22"/>
        </w:rPr>
        <w:t xml:space="preserve">continuamente </w:t>
      </w:r>
      <w:r w:rsidR="00924A0C">
        <w:rPr>
          <w:sz w:val="22"/>
        </w:rPr>
        <w:t xml:space="preserve">en los años recientes y continuará siendo un foco principal para TGW. </w:t>
      </w:r>
      <w:r w:rsidR="00924A0C" w:rsidRPr="00924A0C">
        <w:rPr>
          <w:b/>
          <w:sz w:val="22"/>
        </w:rPr>
        <w:t>Harald Schröpf</w:t>
      </w:r>
      <w:r w:rsidR="00924A0C">
        <w:rPr>
          <w:b/>
          <w:sz w:val="22"/>
        </w:rPr>
        <w:t xml:space="preserve"> </w:t>
      </w:r>
      <w:r w:rsidR="00924A0C">
        <w:rPr>
          <w:sz w:val="22"/>
        </w:rPr>
        <w:t>resalta:</w:t>
      </w:r>
    </w:p>
    <w:p w14:paraId="53847089" w14:textId="77777777" w:rsidR="00924A0C" w:rsidRDefault="00924A0C" w:rsidP="0021050D">
      <w:pPr>
        <w:spacing w:line="240" w:lineRule="auto"/>
        <w:ind w:right="851"/>
        <w:rPr>
          <w:sz w:val="22"/>
        </w:rPr>
      </w:pPr>
    </w:p>
    <w:p w14:paraId="33515900" w14:textId="3F3588F0" w:rsidR="000434CA" w:rsidRDefault="00924A0C" w:rsidP="0021050D">
      <w:pPr>
        <w:spacing w:line="240" w:lineRule="auto"/>
        <w:ind w:right="851"/>
        <w:rPr>
          <w:sz w:val="22"/>
        </w:rPr>
      </w:pPr>
      <w:r>
        <w:rPr>
          <w:sz w:val="22"/>
        </w:rPr>
        <w:t xml:space="preserve">“El know-how del software es una competencia básica esencial para los sistemas de almacén clásicos como también en términos de las oportunidades de negocio que ahora brinda la digitalización. Estamos constantemente en la búsqueda de profesionales altamente capacitados en esta área en la cual continuaremos invirtiendo considerablemente. Como integrador de sistemas, TGW no solamente realiza </w:t>
      </w:r>
      <w:r>
        <w:rPr>
          <w:sz w:val="22"/>
        </w:rPr>
        <w:lastRenderedPageBreak/>
        <w:t xml:space="preserve">componentes mecatrónicos, sino también los conectamos por medio del software – como también a los sistemas ERP de nuestros clientes”.      </w:t>
      </w:r>
      <w:r w:rsidR="00944644">
        <w:rPr>
          <w:sz w:val="22"/>
        </w:rPr>
        <w:t xml:space="preserve"> </w:t>
      </w:r>
      <w:r w:rsidR="00FB08AC">
        <w:rPr>
          <w:sz w:val="22"/>
        </w:rPr>
        <w:t xml:space="preserve"> </w:t>
      </w:r>
      <w:r w:rsidR="00B4371F">
        <w:rPr>
          <w:sz w:val="22"/>
        </w:rPr>
        <w:t xml:space="preserve"> </w:t>
      </w:r>
      <w:r w:rsidR="004965A9">
        <w:rPr>
          <w:sz w:val="22"/>
        </w:rPr>
        <w:t xml:space="preserve">  </w:t>
      </w:r>
      <w:r w:rsidR="00063248">
        <w:rPr>
          <w:sz w:val="22"/>
        </w:rPr>
        <w:t xml:space="preserve"> </w:t>
      </w:r>
      <w:r w:rsidR="00632FE1">
        <w:rPr>
          <w:sz w:val="22"/>
        </w:rPr>
        <w:t xml:space="preserve">    </w:t>
      </w:r>
      <w:r w:rsidR="002C1BF5">
        <w:rPr>
          <w:sz w:val="22"/>
        </w:rPr>
        <w:t xml:space="preserve"> </w:t>
      </w:r>
      <w:r w:rsidR="004C5C5A">
        <w:rPr>
          <w:sz w:val="22"/>
        </w:rPr>
        <w:t xml:space="preserve">   </w:t>
      </w:r>
      <w:r w:rsidR="004722F3">
        <w:rPr>
          <w:sz w:val="22"/>
        </w:rPr>
        <w:t xml:space="preserve">       </w:t>
      </w:r>
      <w:r w:rsidR="00C54806">
        <w:rPr>
          <w:sz w:val="22"/>
        </w:rPr>
        <w:t xml:space="preserve">     </w:t>
      </w:r>
      <w:r w:rsidR="002D40A6">
        <w:rPr>
          <w:sz w:val="22"/>
        </w:rPr>
        <w:t xml:space="preserve"> </w:t>
      </w:r>
      <w:r w:rsidR="00E44D50">
        <w:rPr>
          <w:sz w:val="22"/>
        </w:rPr>
        <w:t xml:space="preserve"> </w:t>
      </w:r>
    </w:p>
    <w:p w14:paraId="78D608D5" w14:textId="77777777" w:rsidR="000434CA" w:rsidRDefault="000434CA" w:rsidP="0021050D">
      <w:pPr>
        <w:spacing w:line="240" w:lineRule="auto"/>
        <w:ind w:right="851"/>
        <w:rPr>
          <w:sz w:val="22"/>
        </w:rPr>
      </w:pPr>
    </w:p>
    <w:p w14:paraId="29CD4F5C" w14:textId="2BF9E69D" w:rsidR="000434CA" w:rsidRPr="00767496" w:rsidRDefault="00767496" w:rsidP="004F423B">
      <w:pPr>
        <w:spacing w:line="240" w:lineRule="auto"/>
        <w:ind w:left="0"/>
        <w:rPr>
          <w:b/>
          <w:sz w:val="22"/>
        </w:rPr>
      </w:pPr>
      <w:r w:rsidRPr="00767496">
        <w:rPr>
          <w:b/>
          <w:sz w:val="22"/>
        </w:rPr>
        <w:t xml:space="preserve">Sobre TGW: </w:t>
      </w:r>
    </w:p>
    <w:p w14:paraId="78903029" w14:textId="77777777" w:rsidR="00767496" w:rsidRDefault="00767496" w:rsidP="004F423B">
      <w:pPr>
        <w:spacing w:line="240" w:lineRule="auto"/>
        <w:ind w:left="0"/>
        <w:rPr>
          <w:sz w:val="22"/>
        </w:rPr>
      </w:pPr>
    </w:p>
    <w:p w14:paraId="327F3C74" w14:textId="185D0399" w:rsidR="00924A0C" w:rsidRDefault="004F423B" w:rsidP="004F423B">
      <w:pPr>
        <w:spacing w:line="240" w:lineRule="auto"/>
        <w:ind w:left="0"/>
        <w:rPr>
          <w:sz w:val="22"/>
        </w:rPr>
      </w:pPr>
      <w:r w:rsidRPr="004F423B">
        <w:rPr>
          <w:sz w:val="22"/>
        </w:rPr>
        <w:t>El Grupo TGW es un proveedor líder a nivel global de soluciones intralogísticas. Por casi 50 años, este especialista Austriaco ha suministrado sistemas automatizados para clientes internacionales – desde</w:t>
      </w:r>
      <w:r w:rsidR="00924A0C">
        <w:rPr>
          <w:sz w:val="22"/>
        </w:rPr>
        <w:t xml:space="preserve"> transportadores </w:t>
      </w:r>
      <w:r w:rsidR="00CC1513">
        <w:rPr>
          <w:sz w:val="22"/>
        </w:rPr>
        <w:t>p</w:t>
      </w:r>
      <w:r w:rsidR="00924A0C">
        <w:rPr>
          <w:sz w:val="22"/>
        </w:rPr>
        <w:t>a</w:t>
      </w:r>
      <w:r w:rsidR="00CC1513">
        <w:rPr>
          <w:sz w:val="22"/>
        </w:rPr>
        <w:t>ra</w:t>
      </w:r>
      <w:r w:rsidR="00924A0C">
        <w:rPr>
          <w:sz w:val="22"/>
        </w:rPr>
        <w:t xml:space="preserve"> cajas y contenedores a robots de picking</w:t>
      </w:r>
      <w:r w:rsidR="005A698D">
        <w:rPr>
          <w:sz w:val="22"/>
        </w:rPr>
        <w:t>. El portafolio de la empresa incluye sistemas a pequeña escala como también centros logísticos altamente complejos. TGW realiza sus productos en Wels, Austria, y también suministra la planificaci</w:t>
      </w:r>
      <w:r w:rsidR="006C4ED4">
        <w:rPr>
          <w:sz w:val="22"/>
        </w:rPr>
        <w:t xml:space="preserve">ón, implementación, y servicio postventa para proyectos como contratista general. </w:t>
      </w:r>
    </w:p>
    <w:p w14:paraId="049AD52A" w14:textId="77777777" w:rsidR="00924A0C" w:rsidRDefault="00924A0C" w:rsidP="004F423B">
      <w:pPr>
        <w:spacing w:line="240" w:lineRule="auto"/>
        <w:ind w:left="0"/>
        <w:rPr>
          <w:sz w:val="22"/>
        </w:rPr>
      </w:pPr>
    </w:p>
    <w:p w14:paraId="22FAF2EC" w14:textId="3AE5DA27" w:rsidR="004F423B" w:rsidRPr="004F423B" w:rsidRDefault="004F423B" w:rsidP="004F423B">
      <w:pPr>
        <w:spacing w:line="240" w:lineRule="auto"/>
        <w:ind w:left="0"/>
        <w:rPr>
          <w:sz w:val="22"/>
        </w:rPr>
      </w:pPr>
      <w:r w:rsidRPr="004F423B">
        <w:rPr>
          <w:sz w:val="22"/>
        </w:rPr>
        <w:t xml:space="preserve"> Con aproxi</w:t>
      </w:r>
      <w:r w:rsidR="006C4ED4">
        <w:rPr>
          <w:sz w:val="22"/>
        </w:rPr>
        <w:t>ma</w:t>
      </w:r>
      <w:r w:rsidRPr="004F423B">
        <w:rPr>
          <w:sz w:val="22"/>
        </w:rPr>
        <w:t>damente 3,300 empleados, el grupo tiene oficinas en Europa, China, y Estados Unidos de América. Durante el año comercial 2017/2018, la compañía alcanzó ingresos de ventas de 713 millones de euros.</w:t>
      </w:r>
    </w:p>
    <w:p w14:paraId="79F103AC" w14:textId="77777777" w:rsidR="008872D9" w:rsidRDefault="00D30E69" w:rsidP="008872D9">
      <w:pPr>
        <w:ind w:left="0"/>
      </w:pPr>
      <w:hyperlink r:id="rId8" w:history="1">
        <w:r w:rsidR="008872D9" w:rsidRPr="001B50A7">
          <w:rPr>
            <w:rStyle w:val="Hyperlink"/>
          </w:rPr>
          <w:t>www.tgw-group.com</w:t>
        </w:r>
      </w:hyperlink>
      <w:r w:rsidR="008872D9">
        <w:t xml:space="preserve"> </w:t>
      </w:r>
    </w:p>
    <w:p w14:paraId="1AD63BA8" w14:textId="77777777" w:rsidR="00BE2683" w:rsidRDefault="00BE2683" w:rsidP="008872D9">
      <w:pPr>
        <w:ind w:left="0"/>
      </w:pPr>
    </w:p>
    <w:p w14:paraId="4F47D3EB" w14:textId="3C07978B" w:rsidR="008872D9" w:rsidRPr="004F423B" w:rsidRDefault="008872D9" w:rsidP="008872D9">
      <w:pPr>
        <w:ind w:left="0"/>
      </w:pPr>
      <w:r w:rsidRPr="004F423B">
        <w:t xml:space="preserve">Contacto: </w:t>
      </w:r>
    </w:p>
    <w:p w14:paraId="0A4D9554" w14:textId="77777777" w:rsidR="008872D9" w:rsidRPr="004F423B" w:rsidRDefault="008872D9" w:rsidP="008872D9">
      <w:pPr>
        <w:ind w:left="0"/>
      </w:pPr>
      <w:bookmarkStart w:id="0" w:name="_GoBack"/>
      <w:bookmarkEnd w:id="0"/>
    </w:p>
    <w:p w14:paraId="36BB0F0D" w14:textId="69A73BCE" w:rsidR="008872D9" w:rsidRDefault="008872D9" w:rsidP="008872D9">
      <w:pPr>
        <w:ind w:left="0"/>
        <w:rPr>
          <w:lang w:val="en-US"/>
        </w:rPr>
      </w:pPr>
      <w:r>
        <w:rPr>
          <w:lang w:val="en-US"/>
        </w:rPr>
        <w:t>Martin Kirchmayr</w:t>
      </w:r>
    </w:p>
    <w:p w14:paraId="4FAE40C6" w14:textId="23A994A1" w:rsidR="008872D9" w:rsidRDefault="008872D9" w:rsidP="008872D9">
      <w:pPr>
        <w:ind w:left="0"/>
        <w:rPr>
          <w:lang w:val="en-US"/>
        </w:rPr>
      </w:pPr>
      <w:r>
        <w:rPr>
          <w:lang w:val="en-US"/>
        </w:rPr>
        <w:t>Marketing &amp; Communication Manager</w:t>
      </w:r>
    </w:p>
    <w:p w14:paraId="3BB7A288" w14:textId="330EBE2C" w:rsidR="008872D9" w:rsidRDefault="008872D9" w:rsidP="008872D9">
      <w:pPr>
        <w:ind w:left="0"/>
        <w:rPr>
          <w:lang w:val="en-US"/>
        </w:rPr>
      </w:pPr>
      <w:r>
        <w:rPr>
          <w:lang w:val="en-US"/>
        </w:rPr>
        <w:t>T: +43</w:t>
      </w:r>
      <w:r w:rsidR="00F614E0">
        <w:rPr>
          <w:lang w:val="en-US"/>
        </w:rPr>
        <w:t xml:space="preserve"> (0).50.486-1382</w:t>
      </w:r>
    </w:p>
    <w:p w14:paraId="57A2720E" w14:textId="615F639C" w:rsidR="00F614E0" w:rsidRDefault="00F614E0" w:rsidP="008872D9">
      <w:pPr>
        <w:ind w:left="0"/>
        <w:rPr>
          <w:lang w:val="en-US"/>
        </w:rPr>
      </w:pPr>
      <w:r>
        <w:rPr>
          <w:lang w:val="en-US"/>
        </w:rPr>
        <w:t>M: +43(0).664.8187423</w:t>
      </w:r>
    </w:p>
    <w:p w14:paraId="237D3EED" w14:textId="04525AF5" w:rsidR="00F614E0" w:rsidRDefault="00F614E0" w:rsidP="008872D9">
      <w:pPr>
        <w:ind w:left="0"/>
        <w:rPr>
          <w:lang w:val="en-US"/>
        </w:rPr>
      </w:pPr>
      <w:r>
        <w:rPr>
          <w:lang w:val="en-US"/>
        </w:rPr>
        <w:t>Martin.Kirchmayr@tgw-group.com</w:t>
      </w:r>
    </w:p>
    <w:p w14:paraId="1B485E61" w14:textId="77777777" w:rsidR="008872D9" w:rsidRDefault="008872D9" w:rsidP="008872D9">
      <w:pPr>
        <w:ind w:left="0"/>
        <w:rPr>
          <w:lang w:val="en-US"/>
        </w:rPr>
      </w:pPr>
    </w:p>
    <w:p w14:paraId="1199AD93" w14:textId="059409CB" w:rsidR="008872D9" w:rsidRPr="00E72146" w:rsidRDefault="008872D9" w:rsidP="008872D9">
      <w:pPr>
        <w:ind w:left="0"/>
        <w:rPr>
          <w:lang w:val="en-US"/>
        </w:rPr>
      </w:pPr>
      <w:r>
        <w:rPr>
          <w:lang w:val="en-US"/>
        </w:rPr>
        <w:t>A</w:t>
      </w:r>
      <w:r w:rsidRPr="00E72146">
        <w:rPr>
          <w:lang w:val="en-US"/>
        </w:rPr>
        <w:t>lexander Tahedl</w:t>
      </w:r>
    </w:p>
    <w:p w14:paraId="4FA493A7" w14:textId="77777777" w:rsidR="008872D9" w:rsidRPr="00E72146" w:rsidRDefault="008872D9" w:rsidP="008872D9">
      <w:pPr>
        <w:ind w:left="0"/>
        <w:rPr>
          <w:lang w:val="en-US"/>
        </w:rPr>
      </w:pPr>
      <w:r w:rsidRPr="00E72146">
        <w:rPr>
          <w:lang w:val="en-US"/>
        </w:rPr>
        <w:t>Marketing Specialist</w:t>
      </w:r>
    </w:p>
    <w:p w14:paraId="77C150CC" w14:textId="77777777" w:rsidR="008872D9" w:rsidRPr="00E72146" w:rsidRDefault="008872D9" w:rsidP="008872D9">
      <w:pPr>
        <w:ind w:left="0"/>
        <w:rPr>
          <w:lang w:val="en-US"/>
        </w:rPr>
      </w:pPr>
      <w:r w:rsidRPr="00E72146">
        <w:rPr>
          <w:lang w:val="en-US"/>
        </w:rPr>
        <w:t>T: +43 (0)50.486-2267</w:t>
      </w:r>
    </w:p>
    <w:p w14:paraId="1D5B328C" w14:textId="4E4587DD" w:rsidR="00835318" w:rsidRPr="00835318" w:rsidRDefault="008872D9" w:rsidP="008872D9">
      <w:pPr>
        <w:spacing w:line="360" w:lineRule="auto"/>
        <w:ind w:left="0" w:right="1843"/>
        <w:jc w:val="left"/>
        <w:rPr>
          <w:sz w:val="22"/>
        </w:rPr>
      </w:pPr>
      <w:r w:rsidRPr="002839F0">
        <w:t xml:space="preserve">Alexander.tahedl@tgw-group.com </w:t>
      </w:r>
      <w:r w:rsidRPr="002839F0">
        <w:rPr>
          <w:rFonts w:asciiTheme="majorHAnsi" w:eastAsiaTheme="majorEastAsia" w:hAnsiTheme="majorHAnsi" w:cstheme="majorBidi"/>
          <w:b/>
          <w:bCs/>
          <w:color w:val="8F0312" w:themeColor="accent1" w:themeShade="BF"/>
          <w:sz w:val="28"/>
          <w:szCs w:val="28"/>
        </w:rPr>
        <w:t xml:space="preserve">     </w:t>
      </w:r>
    </w:p>
    <w:sectPr w:rsidR="00835318" w:rsidRPr="00835318" w:rsidSect="003064DD">
      <w:headerReference w:type="default" r:id="rId9"/>
      <w:footerReference w:type="default" r:id="rId10"/>
      <w:pgSz w:w="11906" w:h="16838" w:code="9"/>
      <w:pgMar w:top="720" w:right="720" w:bottom="720" w:left="720"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55B35" w14:textId="77777777" w:rsidR="00507E96" w:rsidRDefault="00507E96" w:rsidP="00764006">
      <w:pPr>
        <w:spacing w:line="240" w:lineRule="auto"/>
      </w:pPr>
      <w:r>
        <w:separator/>
      </w:r>
    </w:p>
  </w:endnote>
  <w:endnote w:type="continuationSeparator" w:id="0">
    <w:p w14:paraId="6A42A3A1" w14:textId="77777777" w:rsidR="00507E96" w:rsidRDefault="00507E96"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0B65C7" w:rsidRPr="00C424EA" w14:paraId="3C924E78" w14:textId="77777777" w:rsidTr="0061697F">
      <w:tc>
        <w:tcPr>
          <w:tcW w:w="6474" w:type="dxa"/>
        </w:tcPr>
        <w:p w14:paraId="6A3AB3DA" w14:textId="77777777" w:rsidR="000B65C7" w:rsidRPr="00C424EA" w:rsidRDefault="00C424EA"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6912AF06" w14:textId="77777777" w:rsidR="000B65C7" w:rsidRPr="00C424EA" w:rsidRDefault="000B65C7" w:rsidP="00C424EA">
          <w:pPr>
            <w:pStyle w:val="Fuzeile"/>
            <w:rPr>
              <w:sz w:val="16"/>
              <w:szCs w:val="16"/>
            </w:rPr>
          </w:pPr>
        </w:p>
      </w:tc>
      <w:tc>
        <w:tcPr>
          <w:tcW w:w="283" w:type="dxa"/>
          <w:tcBorders>
            <w:left w:val="single" w:sz="12" w:space="0" w:color="C00418" w:themeColor="accent1"/>
          </w:tcBorders>
        </w:tcPr>
        <w:p w14:paraId="0CD16A8D" w14:textId="77777777" w:rsidR="000B65C7" w:rsidRPr="00C424EA" w:rsidRDefault="000B65C7" w:rsidP="00C424EA">
          <w:pPr>
            <w:pStyle w:val="Fuzeile"/>
            <w:rPr>
              <w:sz w:val="16"/>
              <w:szCs w:val="16"/>
            </w:rPr>
          </w:pPr>
        </w:p>
      </w:tc>
      <w:tc>
        <w:tcPr>
          <w:tcW w:w="2438" w:type="dxa"/>
          <w:vAlign w:val="center"/>
        </w:tcPr>
        <w:p w14:paraId="58F14FE1" w14:textId="6E510C81" w:rsidR="000B65C7" w:rsidRPr="00C424EA" w:rsidRDefault="000B65C7"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D30E69">
            <w:rPr>
              <w:noProof/>
              <w:sz w:val="16"/>
              <w:szCs w:val="16"/>
            </w:rPr>
            <w:t>1</w:t>
          </w:r>
          <w:r w:rsidRPr="00C424EA">
            <w:rPr>
              <w:sz w:val="16"/>
              <w:szCs w:val="16"/>
            </w:rPr>
            <w:fldChar w:fldCharType="end"/>
          </w:r>
          <w:r w:rsidR="000C38EE" w:rsidRPr="00C424EA">
            <w:rPr>
              <w:sz w:val="16"/>
              <w:szCs w:val="16"/>
            </w:rPr>
            <w:t xml:space="preserve"> / </w:t>
          </w:r>
          <w:r w:rsidR="00C424EA" w:rsidRPr="00C424EA">
            <w:rPr>
              <w:sz w:val="16"/>
              <w:szCs w:val="16"/>
            </w:rPr>
            <w:fldChar w:fldCharType="begin"/>
          </w:r>
          <w:r w:rsidR="00C424EA" w:rsidRPr="00C424EA">
            <w:rPr>
              <w:sz w:val="16"/>
              <w:szCs w:val="16"/>
            </w:rPr>
            <w:instrText xml:space="preserve"> NUMPAGES   \* MERGEFORMAT </w:instrText>
          </w:r>
          <w:r w:rsidR="00C424EA" w:rsidRPr="00C424EA">
            <w:rPr>
              <w:sz w:val="16"/>
              <w:szCs w:val="16"/>
            </w:rPr>
            <w:fldChar w:fldCharType="separate"/>
          </w:r>
          <w:r w:rsidR="00D30E69">
            <w:rPr>
              <w:noProof/>
              <w:sz w:val="16"/>
              <w:szCs w:val="16"/>
            </w:rPr>
            <w:t>2</w:t>
          </w:r>
          <w:r w:rsidR="00C424EA" w:rsidRPr="00C424EA">
            <w:rPr>
              <w:noProof/>
              <w:sz w:val="16"/>
              <w:szCs w:val="16"/>
            </w:rPr>
            <w:fldChar w:fldCharType="end"/>
          </w:r>
        </w:p>
      </w:tc>
    </w:tr>
  </w:tbl>
  <w:p w14:paraId="53D9225E" w14:textId="77777777" w:rsidR="001F2A46" w:rsidRPr="000B65C7" w:rsidRDefault="001F2A46"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FDCD7" w14:textId="77777777" w:rsidR="00507E96" w:rsidRDefault="00507E96" w:rsidP="00764006">
      <w:pPr>
        <w:spacing w:line="240" w:lineRule="auto"/>
      </w:pPr>
      <w:r>
        <w:separator/>
      </w:r>
    </w:p>
  </w:footnote>
  <w:footnote w:type="continuationSeparator" w:id="0">
    <w:p w14:paraId="3F2996E6" w14:textId="77777777" w:rsidR="00507E96" w:rsidRDefault="00507E96"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9ECDB" w14:textId="77777777" w:rsidR="00C54F6A" w:rsidRDefault="00C54F6A" w:rsidP="00C54F6A">
    <w:pPr>
      <w:pStyle w:val="Dokumententitel"/>
    </w:pPr>
  </w:p>
  <w:p w14:paraId="1B606E85" w14:textId="65416F8B" w:rsidR="00C54F6A" w:rsidRPr="00C15D91" w:rsidRDefault="00C54F6A" w:rsidP="00C54F6A">
    <w:pPr>
      <w:pStyle w:val="Dokumententitel"/>
    </w:pPr>
    <w:r>
      <w:rPr>
        <w:lang w:eastAsia="de-AT"/>
      </w:rPr>
      <w:drawing>
        <wp:anchor distT="0" distB="0" distL="114300" distR="114300" simplePos="0" relativeHeight="251661312" behindDoc="0" locked="0" layoutInCell="1" allowOverlap="1" wp14:anchorId="14C4E43D" wp14:editId="6074A1B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1F122D">
      <w:t>Comunicado de Prensa</w:t>
    </w:r>
  </w:p>
  <w:p w14:paraId="5D7C9970" w14:textId="77777777" w:rsidR="00585363" w:rsidRPr="00C54F6A" w:rsidRDefault="00585363"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15D82458"/>
    <w:multiLevelType w:val="hybridMultilevel"/>
    <w:tmpl w:val="DE68DBD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1ACA7C72"/>
    <w:multiLevelType w:val="hybridMultilevel"/>
    <w:tmpl w:val="0EEAA734"/>
    <w:lvl w:ilvl="0" w:tplc="90689198">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5"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6"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7"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9"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num w:numId="1">
    <w:abstractNumId w:val="6"/>
  </w:num>
  <w:num w:numId="2">
    <w:abstractNumId w:val="4"/>
  </w:num>
  <w:num w:numId="3">
    <w:abstractNumId w:val="5"/>
  </w:num>
  <w:num w:numId="4">
    <w:abstractNumId w:val="8"/>
  </w:num>
  <w:num w:numId="5">
    <w:abstractNumId w:val="9"/>
  </w:num>
  <w:num w:numId="6">
    <w:abstractNumId w:val="1"/>
  </w:num>
  <w:num w:numId="7">
    <w:abstractNumId w:val="0"/>
  </w:num>
  <w:num w:numId="8">
    <w:abstractNumId w:val="7"/>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en-US" w:vendorID="64" w:dllVersion="131078" w:nlCheck="1" w:checkStyle="1"/>
  <w:activeWritingStyle w:appName="MSWord" w:lang="de-DE" w:vendorID="64" w:dllVersion="131078" w:nlCheck="1" w:checkStyle="0"/>
  <w:activeWritingStyle w:appName="MSWord" w:lang="es-SV"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47E2"/>
    <w:rsid w:val="0000676B"/>
    <w:rsid w:val="00007C17"/>
    <w:rsid w:val="00015103"/>
    <w:rsid w:val="00017359"/>
    <w:rsid w:val="0002404E"/>
    <w:rsid w:val="00025238"/>
    <w:rsid w:val="00025537"/>
    <w:rsid w:val="000362EF"/>
    <w:rsid w:val="00036D29"/>
    <w:rsid w:val="00041D9C"/>
    <w:rsid w:val="000434CA"/>
    <w:rsid w:val="00045F47"/>
    <w:rsid w:val="00051E40"/>
    <w:rsid w:val="00063248"/>
    <w:rsid w:val="00072975"/>
    <w:rsid w:val="0007681D"/>
    <w:rsid w:val="00082E0D"/>
    <w:rsid w:val="000915AA"/>
    <w:rsid w:val="000A7A2A"/>
    <w:rsid w:val="000B2110"/>
    <w:rsid w:val="000B3869"/>
    <w:rsid w:val="000B56A5"/>
    <w:rsid w:val="000B65C7"/>
    <w:rsid w:val="000C38EE"/>
    <w:rsid w:val="000C3C7D"/>
    <w:rsid w:val="000C4592"/>
    <w:rsid w:val="000C4F24"/>
    <w:rsid w:val="000C5992"/>
    <w:rsid w:val="000E157B"/>
    <w:rsid w:val="000E1A08"/>
    <w:rsid w:val="000E33FB"/>
    <w:rsid w:val="000E4D3F"/>
    <w:rsid w:val="000E5E13"/>
    <w:rsid w:val="000F6C2E"/>
    <w:rsid w:val="00103B55"/>
    <w:rsid w:val="00106523"/>
    <w:rsid w:val="00114EE0"/>
    <w:rsid w:val="0012627D"/>
    <w:rsid w:val="00127EEF"/>
    <w:rsid w:val="0013109E"/>
    <w:rsid w:val="00134CCE"/>
    <w:rsid w:val="00135042"/>
    <w:rsid w:val="00136215"/>
    <w:rsid w:val="00142599"/>
    <w:rsid w:val="00142D0C"/>
    <w:rsid w:val="00147C5F"/>
    <w:rsid w:val="001828ED"/>
    <w:rsid w:val="00185FCF"/>
    <w:rsid w:val="00193CCF"/>
    <w:rsid w:val="001A43A4"/>
    <w:rsid w:val="001A6E46"/>
    <w:rsid w:val="001B0916"/>
    <w:rsid w:val="001B31BE"/>
    <w:rsid w:val="001B4554"/>
    <w:rsid w:val="001B7B1E"/>
    <w:rsid w:val="001C1838"/>
    <w:rsid w:val="001D3DA5"/>
    <w:rsid w:val="001D7887"/>
    <w:rsid w:val="001E0675"/>
    <w:rsid w:val="001E6404"/>
    <w:rsid w:val="001F122D"/>
    <w:rsid w:val="001F2A46"/>
    <w:rsid w:val="00200E0B"/>
    <w:rsid w:val="0021050D"/>
    <w:rsid w:val="00212244"/>
    <w:rsid w:val="00216A2C"/>
    <w:rsid w:val="00217EE5"/>
    <w:rsid w:val="002220F6"/>
    <w:rsid w:val="00222A93"/>
    <w:rsid w:val="002251F3"/>
    <w:rsid w:val="0022605A"/>
    <w:rsid w:val="00256109"/>
    <w:rsid w:val="00257927"/>
    <w:rsid w:val="00260754"/>
    <w:rsid w:val="002612C5"/>
    <w:rsid w:val="0026487A"/>
    <w:rsid w:val="00265358"/>
    <w:rsid w:val="00272CD8"/>
    <w:rsid w:val="00273328"/>
    <w:rsid w:val="002734FC"/>
    <w:rsid w:val="00273F4D"/>
    <w:rsid w:val="002820AB"/>
    <w:rsid w:val="002839F0"/>
    <w:rsid w:val="002844E7"/>
    <w:rsid w:val="00293E15"/>
    <w:rsid w:val="002A1224"/>
    <w:rsid w:val="002A3009"/>
    <w:rsid w:val="002A683E"/>
    <w:rsid w:val="002B22FA"/>
    <w:rsid w:val="002C13ED"/>
    <w:rsid w:val="002C1BF5"/>
    <w:rsid w:val="002C23D4"/>
    <w:rsid w:val="002C345F"/>
    <w:rsid w:val="002C36E5"/>
    <w:rsid w:val="002C61F8"/>
    <w:rsid w:val="002C69C9"/>
    <w:rsid w:val="002C723D"/>
    <w:rsid w:val="002D40A6"/>
    <w:rsid w:val="002D70FC"/>
    <w:rsid w:val="002D7195"/>
    <w:rsid w:val="002E317C"/>
    <w:rsid w:val="002F5DD8"/>
    <w:rsid w:val="00300BFF"/>
    <w:rsid w:val="003064DD"/>
    <w:rsid w:val="00322F17"/>
    <w:rsid w:val="00325071"/>
    <w:rsid w:val="00325122"/>
    <w:rsid w:val="0032555B"/>
    <w:rsid w:val="00330DA9"/>
    <w:rsid w:val="00331B0C"/>
    <w:rsid w:val="00332D55"/>
    <w:rsid w:val="00353A88"/>
    <w:rsid w:val="00355408"/>
    <w:rsid w:val="0035766A"/>
    <w:rsid w:val="00360255"/>
    <w:rsid w:val="00360EEB"/>
    <w:rsid w:val="00364D72"/>
    <w:rsid w:val="00366266"/>
    <w:rsid w:val="00367F43"/>
    <w:rsid w:val="00371C4E"/>
    <w:rsid w:val="00374811"/>
    <w:rsid w:val="00376149"/>
    <w:rsid w:val="00377F06"/>
    <w:rsid w:val="00384E4B"/>
    <w:rsid w:val="00387D59"/>
    <w:rsid w:val="00387FE1"/>
    <w:rsid w:val="003904E0"/>
    <w:rsid w:val="00390B54"/>
    <w:rsid w:val="003933E5"/>
    <w:rsid w:val="003A1ED6"/>
    <w:rsid w:val="003A1F64"/>
    <w:rsid w:val="003A35D1"/>
    <w:rsid w:val="003A6D96"/>
    <w:rsid w:val="003B2F92"/>
    <w:rsid w:val="003B31E3"/>
    <w:rsid w:val="003B509C"/>
    <w:rsid w:val="003B5271"/>
    <w:rsid w:val="003B7C8B"/>
    <w:rsid w:val="003B7CBA"/>
    <w:rsid w:val="003C3AA4"/>
    <w:rsid w:val="003C5843"/>
    <w:rsid w:val="003C79E3"/>
    <w:rsid w:val="003E392A"/>
    <w:rsid w:val="003E6107"/>
    <w:rsid w:val="003F3E54"/>
    <w:rsid w:val="003F58AC"/>
    <w:rsid w:val="003F694C"/>
    <w:rsid w:val="004022C2"/>
    <w:rsid w:val="0041045D"/>
    <w:rsid w:val="00414041"/>
    <w:rsid w:val="00427466"/>
    <w:rsid w:val="0043387C"/>
    <w:rsid w:val="00440D2C"/>
    <w:rsid w:val="00444115"/>
    <w:rsid w:val="00445CA9"/>
    <w:rsid w:val="00451FDA"/>
    <w:rsid w:val="00453F03"/>
    <w:rsid w:val="00454CE6"/>
    <w:rsid w:val="00456A9F"/>
    <w:rsid w:val="00462E06"/>
    <w:rsid w:val="004722F3"/>
    <w:rsid w:val="004746BE"/>
    <w:rsid w:val="00475FF4"/>
    <w:rsid w:val="0047613B"/>
    <w:rsid w:val="004832B0"/>
    <w:rsid w:val="00483405"/>
    <w:rsid w:val="0048419C"/>
    <w:rsid w:val="00484781"/>
    <w:rsid w:val="0049574E"/>
    <w:rsid w:val="004965A9"/>
    <w:rsid w:val="004A444C"/>
    <w:rsid w:val="004C5C5A"/>
    <w:rsid w:val="004D2926"/>
    <w:rsid w:val="004D551D"/>
    <w:rsid w:val="004D5A7D"/>
    <w:rsid w:val="004E2F7E"/>
    <w:rsid w:val="004E2F91"/>
    <w:rsid w:val="004E5D72"/>
    <w:rsid w:val="004F0335"/>
    <w:rsid w:val="004F17A9"/>
    <w:rsid w:val="004F423B"/>
    <w:rsid w:val="005009D2"/>
    <w:rsid w:val="0050725B"/>
    <w:rsid w:val="00507E96"/>
    <w:rsid w:val="005105A7"/>
    <w:rsid w:val="00523149"/>
    <w:rsid w:val="00541EAC"/>
    <w:rsid w:val="005436D2"/>
    <w:rsid w:val="00557222"/>
    <w:rsid w:val="00574451"/>
    <w:rsid w:val="00576375"/>
    <w:rsid w:val="00585363"/>
    <w:rsid w:val="005A1402"/>
    <w:rsid w:val="005A6393"/>
    <w:rsid w:val="005A698D"/>
    <w:rsid w:val="005B0567"/>
    <w:rsid w:val="005B175C"/>
    <w:rsid w:val="005B4F11"/>
    <w:rsid w:val="005B6283"/>
    <w:rsid w:val="005C765B"/>
    <w:rsid w:val="005D71EC"/>
    <w:rsid w:val="005E1EC3"/>
    <w:rsid w:val="005E3DF7"/>
    <w:rsid w:val="005F0F17"/>
    <w:rsid w:val="005F1EA6"/>
    <w:rsid w:val="005F7BCC"/>
    <w:rsid w:val="006075A2"/>
    <w:rsid w:val="00616244"/>
    <w:rsid w:val="00617806"/>
    <w:rsid w:val="00632FE1"/>
    <w:rsid w:val="00647E9D"/>
    <w:rsid w:val="006550F3"/>
    <w:rsid w:val="0066644A"/>
    <w:rsid w:val="0067197F"/>
    <w:rsid w:val="00675E5A"/>
    <w:rsid w:val="00676996"/>
    <w:rsid w:val="00677B13"/>
    <w:rsid w:val="006826A3"/>
    <w:rsid w:val="00687F97"/>
    <w:rsid w:val="006A5FC3"/>
    <w:rsid w:val="006C4ED4"/>
    <w:rsid w:val="006C74BB"/>
    <w:rsid w:val="006D3FEE"/>
    <w:rsid w:val="006D7ABD"/>
    <w:rsid w:val="006D7FCA"/>
    <w:rsid w:val="006F0740"/>
    <w:rsid w:val="006F519C"/>
    <w:rsid w:val="0070060E"/>
    <w:rsid w:val="007058A0"/>
    <w:rsid w:val="0070737C"/>
    <w:rsid w:val="00715771"/>
    <w:rsid w:val="00722073"/>
    <w:rsid w:val="00722C1F"/>
    <w:rsid w:val="00726C52"/>
    <w:rsid w:val="007344D8"/>
    <w:rsid w:val="00740C29"/>
    <w:rsid w:val="00743B0E"/>
    <w:rsid w:val="007465B5"/>
    <w:rsid w:val="007502BB"/>
    <w:rsid w:val="007527A9"/>
    <w:rsid w:val="00754590"/>
    <w:rsid w:val="007549DF"/>
    <w:rsid w:val="00757786"/>
    <w:rsid w:val="00763B86"/>
    <w:rsid w:val="00764006"/>
    <w:rsid w:val="0076552F"/>
    <w:rsid w:val="00767466"/>
    <w:rsid w:val="00767496"/>
    <w:rsid w:val="007818CE"/>
    <w:rsid w:val="00784491"/>
    <w:rsid w:val="00790748"/>
    <w:rsid w:val="0079156E"/>
    <w:rsid w:val="0079474E"/>
    <w:rsid w:val="007C1806"/>
    <w:rsid w:val="007D0E42"/>
    <w:rsid w:val="007D2294"/>
    <w:rsid w:val="007E1ADC"/>
    <w:rsid w:val="007E3F23"/>
    <w:rsid w:val="007F2D39"/>
    <w:rsid w:val="007F5927"/>
    <w:rsid w:val="007F603A"/>
    <w:rsid w:val="008058D8"/>
    <w:rsid w:val="00807724"/>
    <w:rsid w:val="00812E4D"/>
    <w:rsid w:val="008224C7"/>
    <w:rsid w:val="00822F05"/>
    <w:rsid w:val="00834365"/>
    <w:rsid w:val="00835318"/>
    <w:rsid w:val="0083558B"/>
    <w:rsid w:val="00836C1B"/>
    <w:rsid w:val="00840452"/>
    <w:rsid w:val="00850594"/>
    <w:rsid w:val="00852BFE"/>
    <w:rsid w:val="00854D8B"/>
    <w:rsid w:val="0085607B"/>
    <w:rsid w:val="00861CE2"/>
    <w:rsid w:val="0086365C"/>
    <w:rsid w:val="008639D1"/>
    <w:rsid w:val="00874136"/>
    <w:rsid w:val="00885DC8"/>
    <w:rsid w:val="008861B9"/>
    <w:rsid w:val="008872D9"/>
    <w:rsid w:val="00890F57"/>
    <w:rsid w:val="008966E4"/>
    <w:rsid w:val="008A7110"/>
    <w:rsid w:val="008B0223"/>
    <w:rsid w:val="008B2AD3"/>
    <w:rsid w:val="008B43F7"/>
    <w:rsid w:val="008B63D6"/>
    <w:rsid w:val="008C1E4D"/>
    <w:rsid w:val="008C62E5"/>
    <w:rsid w:val="008D1530"/>
    <w:rsid w:val="008E6586"/>
    <w:rsid w:val="008E7A6F"/>
    <w:rsid w:val="008F52D5"/>
    <w:rsid w:val="00904C5D"/>
    <w:rsid w:val="009079AD"/>
    <w:rsid w:val="009114A8"/>
    <w:rsid w:val="00914596"/>
    <w:rsid w:val="009242D9"/>
    <w:rsid w:val="00924A0C"/>
    <w:rsid w:val="00925FC0"/>
    <w:rsid w:val="00932BAB"/>
    <w:rsid w:val="00940081"/>
    <w:rsid w:val="009429D4"/>
    <w:rsid w:val="00944644"/>
    <w:rsid w:val="00953F4B"/>
    <w:rsid w:val="00957E3E"/>
    <w:rsid w:val="009726ED"/>
    <w:rsid w:val="009812D4"/>
    <w:rsid w:val="00981B98"/>
    <w:rsid w:val="00981F69"/>
    <w:rsid w:val="00984BDC"/>
    <w:rsid w:val="00991CDC"/>
    <w:rsid w:val="00997C23"/>
    <w:rsid w:val="009A053C"/>
    <w:rsid w:val="009A5277"/>
    <w:rsid w:val="009C0176"/>
    <w:rsid w:val="009C5DF7"/>
    <w:rsid w:val="009D1BC4"/>
    <w:rsid w:val="009D24FF"/>
    <w:rsid w:val="009D4D4F"/>
    <w:rsid w:val="009D6D93"/>
    <w:rsid w:val="009E4A59"/>
    <w:rsid w:val="009F3792"/>
    <w:rsid w:val="00A002AF"/>
    <w:rsid w:val="00A01BF4"/>
    <w:rsid w:val="00A01F57"/>
    <w:rsid w:val="00A04E14"/>
    <w:rsid w:val="00A105EB"/>
    <w:rsid w:val="00A148F7"/>
    <w:rsid w:val="00A251DF"/>
    <w:rsid w:val="00A34171"/>
    <w:rsid w:val="00A510C0"/>
    <w:rsid w:val="00A53A2A"/>
    <w:rsid w:val="00A55EF6"/>
    <w:rsid w:val="00A63795"/>
    <w:rsid w:val="00A671CF"/>
    <w:rsid w:val="00A67E5B"/>
    <w:rsid w:val="00A70671"/>
    <w:rsid w:val="00A70F24"/>
    <w:rsid w:val="00A72304"/>
    <w:rsid w:val="00A767D5"/>
    <w:rsid w:val="00A92218"/>
    <w:rsid w:val="00AA0525"/>
    <w:rsid w:val="00AA055D"/>
    <w:rsid w:val="00AC2A06"/>
    <w:rsid w:val="00AC3597"/>
    <w:rsid w:val="00AC473D"/>
    <w:rsid w:val="00AD3796"/>
    <w:rsid w:val="00AD5D35"/>
    <w:rsid w:val="00AE0387"/>
    <w:rsid w:val="00AE188F"/>
    <w:rsid w:val="00AE2AFD"/>
    <w:rsid w:val="00AE497B"/>
    <w:rsid w:val="00AE723E"/>
    <w:rsid w:val="00AF2210"/>
    <w:rsid w:val="00B00484"/>
    <w:rsid w:val="00B03B65"/>
    <w:rsid w:val="00B06010"/>
    <w:rsid w:val="00B14E61"/>
    <w:rsid w:val="00B1646F"/>
    <w:rsid w:val="00B24356"/>
    <w:rsid w:val="00B41D07"/>
    <w:rsid w:val="00B4371F"/>
    <w:rsid w:val="00B43D72"/>
    <w:rsid w:val="00B4759A"/>
    <w:rsid w:val="00B640BD"/>
    <w:rsid w:val="00B64531"/>
    <w:rsid w:val="00B6530A"/>
    <w:rsid w:val="00B7209A"/>
    <w:rsid w:val="00B7270E"/>
    <w:rsid w:val="00B72997"/>
    <w:rsid w:val="00B8155C"/>
    <w:rsid w:val="00B83BF2"/>
    <w:rsid w:val="00B91E4B"/>
    <w:rsid w:val="00B932A7"/>
    <w:rsid w:val="00B95BAE"/>
    <w:rsid w:val="00BA1FB0"/>
    <w:rsid w:val="00BA5D13"/>
    <w:rsid w:val="00BB6ED0"/>
    <w:rsid w:val="00BC367F"/>
    <w:rsid w:val="00BC7A1A"/>
    <w:rsid w:val="00BD3A46"/>
    <w:rsid w:val="00BE2683"/>
    <w:rsid w:val="00BE3CA9"/>
    <w:rsid w:val="00BE620D"/>
    <w:rsid w:val="00BF50D9"/>
    <w:rsid w:val="00BF5C29"/>
    <w:rsid w:val="00C1252C"/>
    <w:rsid w:val="00C1300C"/>
    <w:rsid w:val="00C20CA9"/>
    <w:rsid w:val="00C22048"/>
    <w:rsid w:val="00C2672F"/>
    <w:rsid w:val="00C32BF1"/>
    <w:rsid w:val="00C337D0"/>
    <w:rsid w:val="00C36D77"/>
    <w:rsid w:val="00C424EA"/>
    <w:rsid w:val="00C442BE"/>
    <w:rsid w:val="00C442CC"/>
    <w:rsid w:val="00C50D9D"/>
    <w:rsid w:val="00C54806"/>
    <w:rsid w:val="00C54F6A"/>
    <w:rsid w:val="00C65899"/>
    <w:rsid w:val="00C70BCD"/>
    <w:rsid w:val="00C76B83"/>
    <w:rsid w:val="00C83128"/>
    <w:rsid w:val="00C84E68"/>
    <w:rsid w:val="00C8748C"/>
    <w:rsid w:val="00CA585D"/>
    <w:rsid w:val="00CA5C99"/>
    <w:rsid w:val="00CB25A7"/>
    <w:rsid w:val="00CB27E5"/>
    <w:rsid w:val="00CB61CC"/>
    <w:rsid w:val="00CC1513"/>
    <w:rsid w:val="00CC2F00"/>
    <w:rsid w:val="00CD41F8"/>
    <w:rsid w:val="00CD444C"/>
    <w:rsid w:val="00CD6EC1"/>
    <w:rsid w:val="00CD7836"/>
    <w:rsid w:val="00CE21E6"/>
    <w:rsid w:val="00CE5C9C"/>
    <w:rsid w:val="00CF07DC"/>
    <w:rsid w:val="00CF0801"/>
    <w:rsid w:val="00D25CDB"/>
    <w:rsid w:val="00D30E69"/>
    <w:rsid w:val="00D31800"/>
    <w:rsid w:val="00D3408D"/>
    <w:rsid w:val="00D37FF1"/>
    <w:rsid w:val="00D4613A"/>
    <w:rsid w:val="00D521AE"/>
    <w:rsid w:val="00D54924"/>
    <w:rsid w:val="00D65D2F"/>
    <w:rsid w:val="00D66FB8"/>
    <w:rsid w:val="00D72569"/>
    <w:rsid w:val="00D75A6B"/>
    <w:rsid w:val="00D76A22"/>
    <w:rsid w:val="00D77C93"/>
    <w:rsid w:val="00D85C8C"/>
    <w:rsid w:val="00D92EC2"/>
    <w:rsid w:val="00D94CE5"/>
    <w:rsid w:val="00D9788A"/>
    <w:rsid w:val="00DA6917"/>
    <w:rsid w:val="00DA7496"/>
    <w:rsid w:val="00DB78F1"/>
    <w:rsid w:val="00DD0CF1"/>
    <w:rsid w:val="00DD489F"/>
    <w:rsid w:val="00DD70FB"/>
    <w:rsid w:val="00DE01B1"/>
    <w:rsid w:val="00DF270B"/>
    <w:rsid w:val="00DF36AC"/>
    <w:rsid w:val="00DF5EE4"/>
    <w:rsid w:val="00DF6D64"/>
    <w:rsid w:val="00E00BE8"/>
    <w:rsid w:val="00E05EDC"/>
    <w:rsid w:val="00E10425"/>
    <w:rsid w:val="00E20D35"/>
    <w:rsid w:val="00E21D57"/>
    <w:rsid w:val="00E24D44"/>
    <w:rsid w:val="00E26194"/>
    <w:rsid w:val="00E2631D"/>
    <w:rsid w:val="00E3185C"/>
    <w:rsid w:val="00E4018D"/>
    <w:rsid w:val="00E41206"/>
    <w:rsid w:val="00E44BB9"/>
    <w:rsid w:val="00E44D50"/>
    <w:rsid w:val="00E46DE1"/>
    <w:rsid w:val="00E50C57"/>
    <w:rsid w:val="00E52190"/>
    <w:rsid w:val="00E54E75"/>
    <w:rsid w:val="00E6260E"/>
    <w:rsid w:val="00E64D25"/>
    <w:rsid w:val="00E66E08"/>
    <w:rsid w:val="00E717B1"/>
    <w:rsid w:val="00E831B3"/>
    <w:rsid w:val="00E852B6"/>
    <w:rsid w:val="00E91D0D"/>
    <w:rsid w:val="00E91E3A"/>
    <w:rsid w:val="00EA68A9"/>
    <w:rsid w:val="00EB09AC"/>
    <w:rsid w:val="00EB2384"/>
    <w:rsid w:val="00EB5278"/>
    <w:rsid w:val="00EC1320"/>
    <w:rsid w:val="00EC2404"/>
    <w:rsid w:val="00EC471D"/>
    <w:rsid w:val="00EC5BAF"/>
    <w:rsid w:val="00ED5ABD"/>
    <w:rsid w:val="00EE1B7D"/>
    <w:rsid w:val="00F30DE0"/>
    <w:rsid w:val="00F35FAE"/>
    <w:rsid w:val="00F44611"/>
    <w:rsid w:val="00F5171D"/>
    <w:rsid w:val="00F52845"/>
    <w:rsid w:val="00F614E0"/>
    <w:rsid w:val="00F67708"/>
    <w:rsid w:val="00F715A6"/>
    <w:rsid w:val="00F767CC"/>
    <w:rsid w:val="00F82E3A"/>
    <w:rsid w:val="00FA0381"/>
    <w:rsid w:val="00FA2F1D"/>
    <w:rsid w:val="00FA380D"/>
    <w:rsid w:val="00FA3ECC"/>
    <w:rsid w:val="00FA4299"/>
    <w:rsid w:val="00FA46BD"/>
    <w:rsid w:val="00FA4FF4"/>
    <w:rsid w:val="00FA5C2C"/>
    <w:rsid w:val="00FB08AC"/>
    <w:rsid w:val="00FB0EAC"/>
    <w:rsid w:val="00FC0E20"/>
    <w:rsid w:val="00FC17ED"/>
    <w:rsid w:val="00FC5768"/>
    <w:rsid w:val="00FC6563"/>
    <w:rsid w:val="00FD25D7"/>
    <w:rsid w:val="00FD581F"/>
    <w:rsid w:val="00FD66DC"/>
    <w:rsid w:val="00FD757A"/>
    <w:rsid w:val="00FF40B2"/>
    <w:rsid w:val="00FF75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96D6EF"/>
  <w15:docId w15:val="{0E898F5D-6A82-4BAC-91A4-C4C83C525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lang w:val="es-ES"/>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customStyle="1" w:styleId="Gitternetztabelle5dunkelAkzent31">
    <w:name w:val="Gitternetztabelle 5 dunkel  – Akzent 31"/>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qFormat/>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lang w:eastAsia="de-DE"/>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lang w:val="de-AT" w:eastAsia="zh-CN"/>
    </w:rPr>
  </w:style>
  <w:style w:type="character" w:customStyle="1" w:styleId="DokumententitelZchn">
    <w:name w:val="Dokumententitel Zchn"/>
    <w:basedOn w:val="KopfzeileZchn"/>
    <w:link w:val="Dokumententitel"/>
    <w:rsid w:val="00C54F6A"/>
    <w:rPr>
      <w:rFonts w:ascii="Arial" w:hAnsi="Arial"/>
      <w:noProof/>
      <w:color w:val="C00418" w:themeColor="accent1"/>
      <w:sz w:val="48"/>
      <w:lang w:val="de-AT" w:eastAsia="zh-CN"/>
    </w:rPr>
  </w:style>
  <w:style w:type="character" w:styleId="Kommentarzeichen">
    <w:name w:val="annotation reference"/>
    <w:basedOn w:val="Absatz-Standardschriftart"/>
    <w:uiPriority w:val="99"/>
    <w:semiHidden/>
    <w:unhideWhenUsed/>
    <w:rsid w:val="00CD7836"/>
    <w:rPr>
      <w:sz w:val="16"/>
      <w:szCs w:val="16"/>
    </w:rPr>
  </w:style>
  <w:style w:type="paragraph" w:styleId="Kommentartext">
    <w:name w:val="annotation text"/>
    <w:basedOn w:val="Standard"/>
    <w:link w:val="KommentartextZchn"/>
    <w:uiPriority w:val="99"/>
    <w:semiHidden/>
    <w:unhideWhenUsed/>
    <w:rsid w:val="00CD7836"/>
    <w:pPr>
      <w:spacing w:line="240" w:lineRule="auto"/>
    </w:pPr>
    <w:rPr>
      <w:szCs w:val="20"/>
    </w:rPr>
  </w:style>
  <w:style w:type="character" w:customStyle="1" w:styleId="KommentartextZchn">
    <w:name w:val="Kommentartext Zchn"/>
    <w:basedOn w:val="Absatz-Standardschriftart"/>
    <w:link w:val="Kommentartext"/>
    <w:uiPriority w:val="99"/>
    <w:semiHidden/>
    <w:rsid w:val="00CD7836"/>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D7836"/>
    <w:rPr>
      <w:b/>
      <w:bCs/>
    </w:rPr>
  </w:style>
  <w:style w:type="character" w:customStyle="1" w:styleId="KommentarthemaZchn">
    <w:name w:val="Kommentarthema Zchn"/>
    <w:basedOn w:val="KommentartextZchn"/>
    <w:link w:val="Kommentarthema"/>
    <w:uiPriority w:val="99"/>
    <w:semiHidden/>
    <w:rsid w:val="00CD7836"/>
    <w:rPr>
      <w:rFonts w:ascii="Arial" w:hAnsi="Arial"/>
      <w:b/>
      <w:bCs/>
      <w:sz w:val="20"/>
      <w:szCs w:val="20"/>
    </w:rPr>
  </w:style>
  <w:style w:type="paragraph" w:styleId="Textkrper">
    <w:name w:val="Body Text"/>
    <w:basedOn w:val="Standard"/>
    <w:link w:val="TextkrperZchn"/>
    <w:uiPriority w:val="99"/>
    <w:unhideWhenUsed/>
    <w:rsid w:val="00835318"/>
    <w:pPr>
      <w:spacing w:after="120" w:line="276" w:lineRule="auto"/>
      <w:ind w:left="0"/>
      <w:jc w:val="left"/>
    </w:pPr>
    <w:rPr>
      <w:rFonts w:asciiTheme="minorHAnsi" w:eastAsiaTheme="minorEastAsia" w:hAnsiTheme="minorHAnsi"/>
      <w:sz w:val="22"/>
      <w:lang w:eastAsia="zh-CN"/>
    </w:rPr>
  </w:style>
  <w:style w:type="character" w:customStyle="1" w:styleId="TextkrperZchn">
    <w:name w:val="Textkörper Zchn"/>
    <w:basedOn w:val="Absatz-Standardschriftart"/>
    <w:link w:val="Textkrper"/>
    <w:uiPriority w:val="99"/>
    <w:rsid w:val="00835318"/>
    <w:rPr>
      <w:rFonts w:eastAsiaTheme="minorEastAsia"/>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94387">
      <w:bodyDiv w:val="1"/>
      <w:marLeft w:val="0"/>
      <w:marRight w:val="0"/>
      <w:marTop w:val="0"/>
      <w:marBottom w:val="0"/>
      <w:divBdr>
        <w:top w:val="none" w:sz="0" w:space="0" w:color="auto"/>
        <w:left w:val="none" w:sz="0" w:space="0" w:color="auto"/>
        <w:bottom w:val="none" w:sz="0" w:space="0" w:color="auto"/>
        <w:right w:val="none" w:sz="0" w:space="0" w:color="auto"/>
      </w:divBdr>
    </w:div>
    <w:div w:id="797575929">
      <w:bodyDiv w:val="1"/>
      <w:marLeft w:val="0"/>
      <w:marRight w:val="0"/>
      <w:marTop w:val="0"/>
      <w:marBottom w:val="0"/>
      <w:divBdr>
        <w:top w:val="none" w:sz="0" w:space="0" w:color="auto"/>
        <w:left w:val="none" w:sz="0" w:space="0" w:color="auto"/>
        <w:bottom w:val="none" w:sz="0" w:space="0" w:color="auto"/>
        <w:right w:val="none" w:sz="0" w:space="0" w:color="auto"/>
      </w:divBdr>
    </w:div>
    <w:div w:id="2016347562">
      <w:bodyDiv w:val="1"/>
      <w:marLeft w:val="0"/>
      <w:marRight w:val="0"/>
      <w:marTop w:val="0"/>
      <w:marBottom w:val="0"/>
      <w:divBdr>
        <w:top w:val="none" w:sz="0" w:space="0" w:color="auto"/>
        <w:left w:val="none" w:sz="0" w:space="0" w:color="auto"/>
        <w:bottom w:val="none" w:sz="0" w:space="0" w:color="auto"/>
        <w:right w:val="none" w:sz="0" w:space="0" w:color="auto"/>
      </w:divBdr>
    </w:div>
    <w:div w:id="209847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62858E-3B1F-C142-98D4-6D65461EF4CD}">
  <we:reference id="wa104124372" version="1.2.0.0" store="de-DE" storeType="OMEX"/>
  <we:alternateReferences>
    <we:reference id="wa104124372" version="1.2.0.0" store="wa1041243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6DD27-0B6A-42CB-AFA0-F9438D997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5155</Characters>
  <Application>Microsoft Office Word</Application>
  <DocSecurity>4</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Klug</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Wohlfarth Andrea</dc:creator>
  <cp:lastModifiedBy>Haim Katharina</cp:lastModifiedBy>
  <cp:revision>2</cp:revision>
  <cp:lastPrinted>2018-11-09T14:28:00Z</cp:lastPrinted>
  <dcterms:created xsi:type="dcterms:W3CDTF">2018-11-23T15:21:00Z</dcterms:created>
  <dcterms:modified xsi:type="dcterms:W3CDTF">2018-11-23T15:21:00Z</dcterms:modified>
</cp:coreProperties>
</file>