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B7B1" w14:textId="1D527F1B" w:rsidR="00A310DB" w:rsidRDefault="00A310DB" w:rsidP="00B34DB2">
      <w:pPr>
        <w:spacing w:line="360" w:lineRule="auto"/>
        <w:ind w:left="0" w:right="1693"/>
        <w:rPr>
          <w:rFonts w:cs="Arial"/>
          <w:b/>
          <w:sz w:val="28"/>
          <w:szCs w:val="28"/>
        </w:rPr>
      </w:pPr>
    </w:p>
    <w:p w14:paraId="00E2E2E3" w14:textId="77777777" w:rsidR="00B018E2" w:rsidRDefault="00B018E2" w:rsidP="00B34DB2">
      <w:pPr>
        <w:spacing w:line="360" w:lineRule="auto"/>
        <w:ind w:left="0" w:right="1693"/>
        <w:rPr>
          <w:rFonts w:cs="Arial"/>
          <w:b/>
          <w:sz w:val="28"/>
          <w:szCs w:val="28"/>
        </w:rPr>
      </w:pPr>
    </w:p>
    <w:p w14:paraId="3A41340B" w14:textId="6771A4CF" w:rsidR="0073741E" w:rsidRPr="002C7798" w:rsidRDefault="003C0C35" w:rsidP="00B34DB2">
      <w:pPr>
        <w:spacing w:line="360" w:lineRule="auto"/>
        <w:ind w:left="0" w:right="1693"/>
        <w:rPr>
          <w:rFonts w:cs="Arial"/>
          <w:b/>
          <w:sz w:val="28"/>
          <w:szCs w:val="28"/>
          <w:lang w:val="es-ES"/>
        </w:rPr>
      </w:pPr>
      <w:r w:rsidRPr="002C7798">
        <w:rPr>
          <w:rFonts w:cs="Arial"/>
          <w:b/>
          <w:sz w:val="28"/>
          <w:szCs w:val="28"/>
          <w:lang w:val="es-ES"/>
        </w:rPr>
        <w:t>Clasificador Natrix de TGW: potente, energéticamente eficiente y flexible</w:t>
      </w:r>
    </w:p>
    <w:p w14:paraId="4010A384" w14:textId="77777777" w:rsidR="00315732" w:rsidRPr="002C7798" w:rsidRDefault="00315732" w:rsidP="00B34DB2">
      <w:pPr>
        <w:spacing w:line="360" w:lineRule="auto"/>
        <w:ind w:left="0" w:right="1693"/>
        <w:rPr>
          <w:rFonts w:cs="Arial"/>
          <w:b/>
          <w:sz w:val="24"/>
          <w:szCs w:val="24"/>
          <w:lang w:val="es-ES"/>
        </w:rPr>
      </w:pPr>
    </w:p>
    <w:p w14:paraId="0B6F4BA4" w14:textId="24CDE51B" w:rsidR="00FF62C9" w:rsidRPr="002C7798" w:rsidRDefault="00D97575" w:rsidP="00FF62C9">
      <w:pPr>
        <w:pStyle w:val="Listenabsatz"/>
        <w:numPr>
          <w:ilvl w:val="0"/>
          <w:numId w:val="21"/>
        </w:numPr>
        <w:spacing w:line="360" w:lineRule="auto"/>
        <w:ind w:right="1693"/>
        <w:jc w:val="left"/>
        <w:rPr>
          <w:rFonts w:cs="Arial"/>
          <w:b/>
          <w:sz w:val="24"/>
          <w:szCs w:val="24"/>
          <w:lang w:val="es-ES"/>
        </w:rPr>
      </w:pPr>
      <w:r w:rsidRPr="002C7798">
        <w:rPr>
          <w:rFonts w:cs="Arial"/>
          <w:b/>
          <w:sz w:val="24"/>
          <w:szCs w:val="24"/>
          <w:lang w:val="es-ES"/>
        </w:rPr>
        <w:t>El especialista en intralogística TGW optimiza el sistema de clasificación de zapatas: de 6</w:t>
      </w:r>
      <w:r w:rsidR="004A613C">
        <w:rPr>
          <w:rFonts w:cs="Arial"/>
          <w:b/>
          <w:sz w:val="24"/>
          <w:szCs w:val="24"/>
          <w:lang w:val="es-ES"/>
        </w:rPr>
        <w:t xml:space="preserve"> </w:t>
      </w:r>
      <w:r w:rsidRPr="002C7798">
        <w:rPr>
          <w:rFonts w:cs="Arial"/>
          <w:b/>
          <w:sz w:val="24"/>
          <w:szCs w:val="24"/>
          <w:lang w:val="es-ES"/>
        </w:rPr>
        <w:t xml:space="preserve">000 a 15 000 unidades de carga por hora </w:t>
      </w:r>
    </w:p>
    <w:p w14:paraId="2B58E14B" w14:textId="3499CD8C" w:rsidR="00A310DB" w:rsidRPr="002C7798" w:rsidRDefault="00A310DB" w:rsidP="00FF62C9">
      <w:pPr>
        <w:pStyle w:val="Listenabsatz"/>
        <w:numPr>
          <w:ilvl w:val="0"/>
          <w:numId w:val="21"/>
        </w:numPr>
        <w:spacing w:line="360" w:lineRule="auto"/>
        <w:ind w:right="1693"/>
        <w:jc w:val="left"/>
        <w:rPr>
          <w:rFonts w:cs="Arial"/>
          <w:b/>
          <w:sz w:val="24"/>
          <w:szCs w:val="24"/>
          <w:lang w:val="es-ES"/>
        </w:rPr>
      </w:pPr>
      <w:r w:rsidRPr="002C7798">
        <w:rPr>
          <w:rFonts w:cs="Arial"/>
          <w:b/>
          <w:sz w:val="24"/>
          <w:szCs w:val="24"/>
          <w:lang w:val="es-ES"/>
        </w:rPr>
        <w:t xml:space="preserve">Apto para cajas, cubetas, bandejas y bolsas de papel </w:t>
      </w:r>
    </w:p>
    <w:p w14:paraId="0F934402" w14:textId="2B98CB8A" w:rsidR="00060901" w:rsidRDefault="001B7227" w:rsidP="00A310DB">
      <w:pPr>
        <w:pStyle w:val="Listenabsatz"/>
        <w:numPr>
          <w:ilvl w:val="0"/>
          <w:numId w:val="21"/>
        </w:numPr>
        <w:spacing w:line="360" w:lineRule="auto"/>
        <w:ind w:right="1693"/>
        <w:jc w:val="left"/>
        <w:rPr>
          <w:rFonts w:cs="Arial"/>
          <w:b/>
          <w:sz w:val="24"/>
          <w:szCs w:val="24"/>
        </w:rPr>
      </w:pPr>
      <w:r>
        <w:rPr>
          <w:rFonts w:cs="Arial"/>
          <w:b/>
          <w:sz w:val="24"/>
          <w:szCs w:val="24"/>
        </w:rPr>
        <w:t>Los algoritmos inteligentes del control proporcionan la máxima disponibilidad</w:t>
      </w:r>
    </w:p>
    <w:p w14:paraId="75C29E54" w14:textId="3A35E80A" w:rsidR="00A310DB" w:rsidRPr="002C7798" w:rsidRDefault="004A613C" w:rsidP="00A310DB">
      <w:pPr>
        <w:pStyle w:val="Listenabsatz"/>
        <w:numPr>
          <w:ilvl w:val="0"/>
          <w:numId w:val="21"/>
        </w:numPr>
        <w:spacing w:line="360" w:lineRule="auto"/>
        <w:ind w:right="1693"/>
        <w:jc w:val="left"/>
        <w:rPr>
          <w:rFonts w:cs="Arial"/>
          <w:b/>
          <w:sz w:val="24"/>
          <w:szCs w:val="24"/>
          <w:lang w:val="es-ES"/>
        </w:rPr>
      </w:pPr>
      <w:r>
        <w:rPr>
          <w:rFonts w:cs="Arial"/>
          <w:b/>
          <w:sz w:val="24"/>
          <w:szCs w:val="24"/>
          <w:lang w:val="es-ES"/>
        </w:rPr>
        <w:t xml:space="preserve">Enfocado en </w:t>
      </w:r>
      <w:r w:rsidR="00A13C5F" w:rsidRPr="002C7798">
        <w:rPr>
          <w:rFonts w:cs="Arial"/>
          <w:b/>
          <w:sz w:val="24"/>
          <w:szCs w:val="24"/>
          <w:lang w:val="es-ES"/>
        </w:rPr>
        <w:t>l</w:t>
      </w:r>
      <w:r w:rsidR="00A310DB" w:rsidRPr="002C7798">
        <w:rPr>
          <w:rFonts w:cs="Arial"/>
          <w:b/>
          <w:sz w:val="24"/>
          <w:szCs w:val="24"/>
          <w:lang w:val="es-ES"/>
        </w:rPr>
        <w:t xml:space="preserve">a elevada flexibilidad y </w:t>
      </w:r>
      <w:r w:rsidR="00A13C5F" w:rsidRPr="002C7798">
        <w:rPr>
          <w:rFonts w:cs="Arial"/>
          <w:b/>
          <w:sz w:val="24"/>
          <w:szCs w:val="24"/>
          <w:lang w:val="es-ES"/>
        </w:rPr>
        <w:t xml:space="preserve">la </w:t>
      </w:r>
      <w:r w:rsidR="00A310DB" w:rsidRPr="002C7798">
        <w:rPr>
          <w:rFonts w:cs="Arial"/>
          <w:b/>
          <w:sz w:val="24"/>
          <w:szCs w:val="24"/>
          <w:lang w:val="es-ES"/>
        </w:rPr>
        <w:t>eficiencia energética</w:t>
      </w:r>
    </w:p>
    <w:p w14:paraId="6C2333EF" w14:textId="77777777" w:rsidR="00E26207" w:rsidRPr="002C7798" w:rsidRDefault="00E26207" w:rsidP="00B34DB2">
      <w:pPr>
        <w:spacing w:line="360" w:lineRule="auto"/>
        <w:ind w:left="0" w:right="1693"/>
        <w:rPr>
          <w:rFonts w:cs="Arial"/>
          <w:b/>
          <w:sz w:val="24"/>
          <w:szCs w:val="24"/>
          <w:lang w:val="es-ES"/>
        </w:rPr>
      </w:pPr>
    </w:p>
    <w:p w14:paraId="4CB05B23" w14:textId="35BF47C5" w:rsidR="00235CF7" w:rsidRPr="002C7798" w:rsidRDefault="00EF32D1" w:rsidP="00B34DB2">
      <w:pPr>
        <w:spacing w:line="360" w:lineRule="auto"/>
        <w:ind w:left="0" w:right="1693"/>
        <w:rPr>
          <w:rFonts w:cs="Arial"/>
          <w:b/>
          <w:szCs w:val="20"/>
          <w:lang w:val="es-ES"/>
        </w:rPr>
      </w:pPr>
      <w:r w:rsidRPr="004A613C">
        <w:rPr>
          <w:rFonts w:cs="Arial"/>
          <w:b/>
          <w:szCs w:val="20"/>
          <w:lang w:val="es-ES"/>
        </w:rPr>
        <w:t xml:space="preserve">(Marchtrenk, </w:t>
      </w:r>
      <w:r w:rsidR="00987D20" w:rsidRPr="004A613C">
        <w:rPr>
          <w:rFonts w:cs="Arial"/>
          <w:b/>
          <w:szCs w:val="20"/>
          <w:lang w:val="es-ES"/>
        </w:rPr>
        <w:t>13</w:t>
      </w:r>
      <w:r w:rsidRPr="004A613C">
        <w:rPr>
          <w:rFonts w:cs="Arial"/>
          <w:b/>
          <w:szCs w:val="20"/>
          <w:lang w:val="es-ES"/>
        </w:rPr>
        <w:t xml:space="preserve"> de abril de 2022) El TGW Logistics Group ha desarrollado una solución de clasificación potente y energéticamente eficiente que resulta adecuada para diversas aplicaciones y sectores. El componente central, el clasificador de zapatas Natrix, ofrece tres niveles de rendimiento. </w:t>
      </w:r>
      <w:r w:rsidRPr="002C7798">
        <w:rPr>
          <w:rFonts w:cs="Arial"/>
          <w:b/>
          <w:szCs w:val="20"/>
          <w:lang w:val="es-ES"/>
        </w:rPr>
        <w:t xml:space="preserve">Gracias a su estructura modular, es posible realizar soluciones a la medida de los clientes. </w:t>
      </w:r>
    </w:p>
    <w:p w14:paraId="01F3F106" w14:textId="46D9C213" w:rsidR="005939BF" w:rsidRPr="002C7798" w:rsidRDefault="005939BF" w:rsidP="00E21B14">
      <w:pPr>
        <w:spacing w:line="360" w:lineRule="auto"/>
        <w:ind w:left="0" w:right="1693"/>
        <w:rPr>
          <w:rFonts w:cs="Arial"/>
          <w:b/>
          <w:szCs w:val="20"/>
          <w:lang w:val="es-ES"/>
        </w:rPr>
      </w:pPr>
    </w:p>
    <w:p w14:paraId="0DF5F182" w14:textId="2E6813CD" w:rsidR="00D01324" w:rsidRPr="004A613C" w:rsidRDefault="009B51CF" w:rsidP="004C4ACF">
      <w:pPr>
        <w:spacing w:line="360" w:lineRule="auto"/>
        <w:ind w:left="0" w:right="1693"/>
        <w:rPr>
          <w:rFonts w:cs="Arial"/>
          <w:bCs/>
          <w:szCs w:val="20"/>
          <w:lang w:val="es-ES"/>
        </w:rPr>
      </w:pPr>
      <w:r w:rsidRPr="004A613C">
        <w:rPr>
          <w:rFonts w:cs="Arial"/>
          <w:bCs/>
          <w:szCs w:val="20"/>
          <w:lang w:val="es-ES"/>
        </w:rPr>
        <w:t xml:space="preserve">La familia de clasificadores de zapatas Natrix, con sus elementos de desplazamiento (zapatas), es un componente importante de los sistemas y soluciones de TGW instalados en cientos de clientes repartidos por todo el mundo. </w:t>
      </w:r>
      <w:r w:rsidR="004C36B9">
        <w:rPr>
          <w:rFonts w:cs="Arial"/>
          <w:bCs/>
          <w:szCs w:val="20"/>
          <w:lang w:val="es-ES"/>
        </w:rPr>
        <w:t>L</w:t>
      </w:r>
      <w:r w:rsidRPr="004A613C">
        <w:rPr>
          <w:rFonts w:cs="Arial"/>
          <w:bCs/>
          <w:szCs w:val="20"/>
          <w:lang w:val="es-ES"/>
        </w:rPr>
        <w:t>os expertos de TGW han volcado su experiencia de los últimos 25 años</w:t>
      </w:r>
      <w:r w:rsidR="004C36B9">
        <w:rPr>
          <w:rFonts w:cs="Arial"/>
          <w:bCs/>
          <w:szCs w:val="20"/>
          <w:lang w:val="es-ES"/>
        </w:rPr>
        <w:t>, en la concepción de la nueva variante con tecnología de desplazamiento paralelo</w:t>
      </w:r>
      <w:r w:rsidRPr="004A613C">
        <w:rPr>
          <w:rFonts w:cs="Arial"/>
          <w:bCs/>
          <w:szCs w:val="20"/>
          <w:lang w:val="es-ES"/>
        </w:rPr>
        <w:t xml:space="preserve"> El requisito central era que el sistema de alto rendimiento </w:t>
      </w:r>
      <w:r w:rsidR="00733323">
        <w:rPr>
          <w:rFonts w:cs="Arial"/>
          <w:bCs/>
          <w:szCs w:val="20"/>
          <w:lang w:val="es-ES"/>
        </w:rPr>
        <w:t xml:space="preserve">trabajara </w:t>
      </w:r>
      <w:r w:rsidRPr="004A613C">
        <w:rPr>
          <w:rFonts w:cs="Arial"/>
          <w:bCs/>
          <w:szCs w:val="20"/>
          <w:lang w:val="es-ES"/>
        </w:rPr>
        <w:t xml:space="preserve">de forma energéticamente eficiente y </w:t>
      </w:r>
      <w:r w:rsidR="00733323">
        <w:rPr>
          <w:rFonts w:cs="Arial"/>
          <w:bCs/>
          <w:szCs w:val="20"/>
          <w:lang w:val="es-ES"/>
        </w:rPr>
        <w:t>ofreciera</w:t>
      </w:r>
      <w:r w:rsidRPr="004A613C">
        <w:rPr>
          <w:rFonts w:cs="Arial"/>
          <w:bCs/>
          <w:szCs w:val="20"/>
          <w:lang w:val="es-ES"/>
        </w:rPr>
        <w:t xml:space="preserve"> un alto grado de flexibilidad. </w:t>
      </w:r>
    </w:p>
    <w:p w14:paraId="20C8DBF9" w14:textId="7F3E2482" w:rsidR="00A310DB" w:rsidRPr="004A613C" w:rsidRDefault="00A310DB" w:rsidP="004C4ACF">
      <w:pPr>
        <w:spacing w:line="360" w:lineRule="auto"/>
        <w:ind w:left="0" w:right="1693"/>
        <w:rPr>
          <w:rFonts w:cs="Arial"/>
          <w:bCs/>
          <w:szCs w:val="20"/>
          <w:lang w:val="es-ES"/>
        </w:rPr>
      </w:pPr>
    </w:p>
    <w:p w14:paraId="0E0B9CFF" w14:textId="67FB9F8A" w:rsidR="00A310DB" w:rsidRPr="004A613C" w:rsidRDefault="00864E86" w:rsidP="004C4ACF">
      <w:pPr>
        <w:spacing w:line="360" w:lineRule="auto"/>
        <w:ind w:left="0" w:right="1693"/>
        <w:rPr>
          <w:rFonts w:cs="Arial"/>
          <w:b/>
          <w:bCs/>
          <w:szCs w:val="20"/>
          <w:lang w:val="es-ES"/>
        </w:rPr>
      </w:pPr>
      <w:r w:rsidRPr="004A613C">
        <w:rPr>
          <w:rFonts w:cs="Arial"/>
          <w:b/>
          <w:bCs/>
          <w:szCs w:val="20"/>
          <w:lang w:val="es-ES"/>
        </w:rPr>
        <w:t>Hasta 15 000 unidades de carga por hora</w:t>
      </w:r>
    </w:p>
    <w:p w14:paraId="44EEFFA8" w14:textId="016A8381" w:rsidR="00C95B42" w:rsidRPr="004A613C" w:rsidRDefault="00C95B42" w:rsidP="004C4ACF">
      <w:pPr>
        <w:spacing w:line="360" w:lineRule="auto"/>
        <w:ind w:left="0" w:right="1693"/>
        <w:rPr>
          <w:rFonts w:cs="Arial"/>
          <w:bCs/>
          <w:szCs w:val="20"/>
          <w:lang w:val="es-ES"/>
        </w:rPr>
      </w:pPr>
    </w:p>
    <w:p w14:paraId="6701C4CB" w14:textId="2477FBA1" w:rsidR="004F4842" w:rsidRPr="002C7798" w:rsidRDefault="00D2523C" w:rsidP="004C4ACF">
      <w:pPr>
        <w:spacing w:line="360" w:lineRule="auto"/>
        <w:ind w:left="0" w:right="1693"/>
        <w:rPr>
          <w:rFonts w:cs="Arial"/>
          <w:bCs/>
          <w:szCs w:val="20"/>
          <w:lang w:val="es-ES"/>
        </w:rPr>
      </w:pPr>
      <w:r w:rsidRPr="004A613C">
        <w:rPr>
          <w:rFonts w:cs="Arial"/>
          <w:bCs/>
          <w:szCs w:val="20"/>
          <w:lang w:val="es-ES"/>
        </w:rPr>
        <w:t xml:space="preserve">El rendimiento, la longitud, el ángulo de salida y la carga determinan el diseño de un clasificador. </w:t>
      </w:r>
      <w:r w:rsidRPr="002C7798">
        <w:rPr>
          <w:rFonts w:cs="Arial"/>
          <w:bCs/>
          <w:szCs w:val="20"/>
          <w:lang w:val="es-ES"/>
        </w:rPr>
        <w:t>Debido a la variedad de versiones (salida de 22 o de 30 grados, tecnología de desplazamiento paralela o convencional), el módulo Natrix se integra perfectamente en el concepto global de TGW y puede subdividirse en tres niveles.</w:t>
      </w:r>
    </w:p>
    <w:p w14:paraId="79E659F4" w14:textId="77777777" w:rsidR="00864E86" w:rsidRPr="002C7798" w:rsidRDefault="00864E86" w:rsidP="004C4ACF">
      <w:pPr>
        <w:spacing w:line="360" w:lineRule="auto"/>
        <w:ind w:left="0" w:right="1693"/>
        <w:rPr>
          <w:rFonts w:cs="Arial"/>
          <w:bCs/>
          <w:szCs w:val="20"/>
          <w:lang w:val="es-ES"/>
        </w:rPr>
      </w:pPr>
    </w:p>
    <w:p w14:paraId="04A345C9" w14:textId="355750AD" w:rsidR="00942462" w:rsidRPr="002C7798" w:rsidRDefault="00942462" w:rsidP="009136D7">
      <w:pPr>
        <w:pStyle w:val="Listenabsatz"/>
        <w:numPr>
          <w:ilvl w:val="0"/>
          <w:numId w:val="23"/>
        </w:numPr>
        <w:spacing w:line="360" w:lineRule="auto"/>
        <w:ind w:right="1693"/>
        <w:rPr>
          <w:rFonts w:cs="Arial"/>
          <w:bCs/>
          <w:szCs w:val="20"/>
          <w:lang w:val="es-ES"/>
        </w:rPr>
      </w:pPr>
      <w:r w:rsidRPr="002C7798">
        <w:rPr>
          <w:rFonts w:cs="Arial"/>
          <w:b/>
          <w:szCs w:val="20"/>
          <w:lang w:val="es-ES"/>
        </w:rPr>
        <w:lastRenderedPageBreak/>
        <w:t>Hasta 15 000 unidades de carga por hora:</w:t>
      </w:r>
      <w:r w:rsidRPr="002C7798">
        <w:rPr>
          <w:rFonts w:cs="Arial"/>
          <w:bCs/>
          <w:szCs w:val="20"/>
          <w:lang w:val="es-ES"/>
        </w:rPr>
        <w:t xml:space="preserve"> en caso de </w:t>
      </w:r>
      <w:r w:rsidR="00963B1B">
        <w:rPr>
          <w:rFonts w:cs="Arial"/>
          <w:bCs/>
          <w:szCs w:val="20"/>
          <w:lang w:val="es-ES"/>
        </w:rPr>
        <w:t xml:space="preserve">un </w:t>
      </w:r>
      <w:r w:rsidRPr="002C7798">
        <w:rPr>
          <w:rFonts w:cs="Arial"/>
          <w:bCs/>
          <w:szCs w:val="20"/>
          <w:lang w:val="es-ES"/>
        </w:rPr>
        <w:t>rendimiento muy elevado, se utiliza una tecnología de desplazamiento paralelo y la carga se junta antes de llegar al clasificador con la denominada Sawtooth Merge.</w:t>
      </w:r>
    </w:p>
    <w:p w14:paraId="14FBB120" w14:textId="60E23D58" w:rsidR="00942462" w:rsidRPr="004A613C" w:rsidRDefault="00942462" w:rsidP="009136D7">
      <w:pPr>
        <w:pStyle w:val="Listenabsatz"/>
        <w:numPr>
          <w:ilvl w:val="0"/>
          <w:numId w:val="24"/>
        </w:numPr>
        <w:spacing w:line="360" w:lineRule="auto"/>
        <w:ind w:right="1693"/>
        <w:rPr>
          <w:rFonts w:cs="Arial"/>
          <w:bCs/>
          <w:szCs w:val="20"/>
          <w:lang w:val="es-ES"/>
        </w:rPr>
      </w:pPr>
      <w:r w:rsidRPr="004A613C">
        <w:rPr>
          <w:rFonts w:cs="Arial"/>
          <w:b/>
          <w:szCs w:val="20"/>
          <w:lang w:val="es-ES"/>
        </w:rPr>
        <w:t>Hasta 10 000 unidades de carga por hora:</w:t>
      </w:r>
      <w:r w:rsidRPr="004A613C">
        <w:rPr>
          <w:rFonts w:cs="Arial"/>
          <w:bCs/>
          <w:szCs w:val="20"/>
          <w:lang w:val="es-ES"/>
        </w:rPr>
        <w:t xml:space="preserve"> esta variante apuesta por la tecnología de desplazamiento convencional, además del Sawtooth Merge. </w:t>
      </w:r>
    </w:p>
    <w:p w14:paraId="04510232" w14:textId="214DAC41" w:rsidR="006D1804" w:rsidRPr="004A613C" w:rsidRDefault="006D1804" w:rsidP="009136D7">
      <w:pPr>
        <w:pStyle w:val="Listenabsatz"/>
        <w:numPr>
          <w:ilvl w:val="0"/>
          <w:numId w:val="24"/>
        </w:numPr>
        <w:spacing w:line="360" w:lineRule="auto"/>
        <w:ind w:right="1693"/>
        <w:rPr>
          <w:rFonts w:cs="Arial"/>
          <w:bCs/>
          <w:szCs w:val="20"/>
          <w:lang w:val="es-ES"/>
        </w:rPr>
      </w:pPr>
      <w:r w:rsidRPr="004A613C">
        <w:rPr>
          <w:rFonts w:cs="Arial"/>
          <w:b/>
          <w:szCs w:val="20"/>
          <w:lang w:val="es-ES"/>
        </w:rPr>
        <w:t>Hasta 6</w:t>
      </w:r>
      <w:r w:rsidR="001E7444">
        <w:rPr>
          <w:rFonts w:cs="Arial"/>
          <w:b/>
          <w:szCs w:val="20"/>
          <w:lang w:val="es-ES"/>
        </w:rPr>
        <w:t xml:space="preserve"> </w:t>
      </w:r>
      <w:r w:rsidRPr="004A613C">
        <w:rPr>
          <w:rFonts w:cs="Arial"/>
          <w:b/>
          <w:szCs w:val="20"/>
          <w:lang w:val="es-ES"/>
        </w:rPr>
        <w:t>000 unidades de carga por hora:</w:t>
      </w:r>
      <w:r w:rsidRPr="004A613C">
        <w:rPr>
          <w:rFonts w:cs="Arial"/>
          <w:bCs/>
          <w:szCs w:val="20"/>
          <w:lang w:val="es-ES"/>
        </w:rPr>
        <w:t xml:space="preserve"> para bajos requisitos de rendimiento, se utiliza lo que se denomina un Channelizer, también llamado 3:1 Merge. Es decir, se juntan dos líneas de alimentación, así como el rebosamiento del clasificador. </w:t>
      </w:r>
    </w:p>
    <w:p w14:paraId="61A2DFB9" w14:textId="77777777" w:rsidR="006D1804" w:rsidRPr="004A613C" w:rsidRDefault="006D1804" w:rsidP="00B4502C">
      <w:pPr>
        <w:spacing w:line="360" w:lineRule="auto"/>
        <w:ind w:left="0" w:right="1693"/>
        <w:rPr>
          <w:rFonts w:cs="Arial"/>
          <w:bCs/>
          <w:szCs w:val="20"/>
          <w:lang w:val="es-ES"/>
        </w:rPr>
      </w:pPr>
    </w:p>
    <w:p w14:paraId="37926341" w14:textId="7101DB02" w:rsidR="00B05634" w:rsidRPr="004A613C" w:rsidRDefault="00FB38CD" w:rsidP="00B05634">
      <w:pPr>
        <w:spacing w:line="360" w:lineRule="auto"/>
        <w:ind w:left="0" w:right="1693"/>
        <w:rPr>
          <w:rFonts w:cs="Arial"/>
          <w:bCs/>
          <w:szCs w:val="20"/>
          <w:lang w:val="es-ES"/>
        </w:rPr>
      </w:pPr>
      <w:r w:rsidRPr="004A613C">
        <w:rPr>
          <w:rFonts w:cs="Arial"/>
          <w:bCs/>
          <w:szCs w:val="20"/>
          <w:lang w:val="es-ES"/>
        </w:rPr>
        <w:t xml:space="preserve">Para alcanzar las tasas de rendimiento necesarias y permitir un suministro rápido, las unidades de carga se transportan con exactitud y la potencia se ajusta automáticamente a los datos de rendimiento. La base del control está formada por algoritmos: intervienen automáticamente antes de que se produzca un fallo. Además, los subsistemas utilizados están integrados al máximo. El control inteligente y las normas de calidad más estrictas para el hardware y el software garantizan que los errores de </w:t>
      </w:r>
      <w:r w:rsidR="00656EB4" w:rsidRPr="004A613C">
        <w:rPr>
          <w:rFonts w:cs="Arial"/>
          <w:bCs/>
          <w:szCs w:val="20"/>
          <w:lang w:val="es-ES"/>
        </w:rPr>
        <w:t>descarga</w:t>
      </w:r>
      <w:r w:rsidRPr="004A613C">
        <w:rPr>
          <w:rFonts w:cs="Arial"/>
          <w:bCs/>
          <w:szCs w:val="20"/>
          <w:lang w:val="es-ES"/>
        </w:rPr>
        <w:t xml:space="preserve"> se reduzcan al mínimo. </w:t>
      </w:r>
    </w:p>
    <w:p w14:paraId="75858EA9" w14:textId="65258899" w:rsidR="00A310DB" w:rsidRPr="004A613C" w:rsidRDefault="00A310DB" w:rsidP="004C4ACF">
      <w:pPr>
        <w:spacing w:line="360" w:lineRule="auto"/>
        <w:ind w:left="0" w:right="1693"/>
        <w:rPr>
          <w:rFonts w:cs="Arial"/>
          <w:bCs/>
          <w:szCs w:val="20"/>
          <w:lang w:val="es-ES"/>
        </w:rPr>
      </w:pPr>
    </w:p>
    <w:p w14:paraId="6BF63557" w14:textId="4BE6496A" w:rsidR="00A310DB" w:rsidRPr="002C7798" w:rsidRDefault="00A310DB" w:rsidP="004C4ACF">
      <w:pPr>
        <w:spacing w:line="360" w:lineRule="auto"/>
        <w:ind w:left="0" w:right="1693"/>
        <w:rPr>
          <w:rFonts w:cs="Arial"/>
          <w:b/>
          <w:bCs/>
          <w:szCs w:val="20"/>
          <w:lang w:val="es-ES"/>
        </w:rPr>
      </w:pPr>
      <w:r w:rsidRPr="002C7798">
        <w:rPr>
          <w:rFonts w:cs="Arial"/>
          <w:b/>
          <w:bCs/>
          <w:szCs w:val="20"/>
          <w:lang w:val="es-ES"/>
        </w:rPr>
        <w:t>Máxima disponibilidad y flexibilidad</w:t>
      </w:r>
    </w:p>
    <w:p w14:paraId="16A365CD" w14:textId="55753D0C" w:rsidR="00264C02" w:rsidRPr="002C7798" w:rsidRDefault="00264C02" w:rsidP="004C4ACF">
      <w:pPr>
        <w:spacing w:line="360" w:lineRule="auto"/>
        <w:ind w:left="0" w:right="1693"/>
        <w:rPr>
          <w:rFonts w:cs="Arial"/>
          <w:bCs/>
          <w:szCs w:val="20"/>
          <w:lang w:val="es-ES"/>
        </w:rPr>
      </w:pPr>
    </w:p>
    <w:p w14:paraId="6B4FA3D3" w14:textId="19F5E182" w:rsidR="009B51CF" w:rsidRPr="004A613C" w:rsidRDefault="00065A72" w:rsidP="004C4ACF">
      <w:pPr>
        <w:spacing w:line="360" w:lineRule="auto"/>
        <w:ind w:left="0" w:right="1693"/>
        <w:rPr>
          <w:rFonts w:cs="Arial"/>
          <w:bCs/>
          <w:szCs w:val="20"/>
          <w:lang w:val="es-ES"/>
        </w:rPr>
      </w:pPr>
      <w:r w:rsidRPr="004A613C">
        <w:rPr>
          <w:rFonts w:cs="Arial"/>
          <w:bCs/>
          <w:szCs w:val="20"/>
          <w:lang w:val="es-ES"/>
        </w:rPr>
        <w:t xml:space="preserve">Además, el tema de la flexibilidad también </w:t>
      </w:r>
      <w:r w:rsidR="008308BF">
        <w:rPr>
          <w:rFonts w:cs="Arial"/>
          <w:bCs/>
          <w:szCs w:val="20"/>
          <w:lang w:val="es-ES"/>
        </w:rPr>
        <w:t xml:space="preserve">fue un punto de interés. </w:t>
      </w:r>
      <w:r w:rsidRPr="004A613C">
        <w:rPr>
          <w:rFonts w:cs="Arial"/>
          <w:bCs/>
          <w:szCs w:val="20"/>
          <w:lang w:val="es-ES"/>
        </w:rPr>
        <w:t xml:space="preserve">. "Change as your business changes" (cambie a medida que cambia su negocio), reza el credo. Los usuarios pueden utilizar, por ejemplo, diferentes unidades de carga, ya sean cajas, cubetas, bandejas o bolsas de papel. Las medidas y el peso máximo también pueden variar. El clasificador Natrix fue desarrollado para los sectores principales de TGW: </w:t>
      </w:r>
      <w:r w:rsidR="00C01414">
        <w:rPr>
          <w:rFonts w:cs="Arial"/>
          <w:bCs/>
          <w:szCs w:val="20"/>
          <w:lang w:val="es-ES"/>
        </w:rPr>
        <w:t xml:space="preserve">textil y </w:t>
      </w:r>
      <w:r w:rsidRPr="004A613C">
        <w:rPr>
          <w:rFonts w:cs="Arial"/>
          <w:bCs/>
          <w:szCs w:val="20"/>
          <w:lang w:val="es-ES"/>
        </w:rPr>
        <w:t>moda, alimentos</w:t>
      </w:r>
      <w:r w:rsidR="00DD50D2">
        <w:rPr>
          <w:rFonts w:cs="Arial"/>
          <w:bCs/>
          <w:szCs w:val="20"/>
          <w:lang w:val="es-ES"/>
        </w:rPr>
        <w:t>,</w:t>
      </w:r>
      <w:r w:rsidRPr="004A613C">
        <w:rPr>
          <w:rFonts w:cs="Arial"/>
          <w:bCs/>
          <w:szCs w:val="20"/>
          <w:lang w:val="es-ES"/>
        </w:rPr>
        <w:t xml:space="preserve"> y bienes de industria y consumo. </w:t>
      </w:r>
      <w:r w:rsidR="00800098">
        <w:rPr>
          <w:rFonts w:cs="Arial"/>
          <w:bCs/>
          <w:szCs w:val="20"/>
          <w:lang w:val="es-ES"/>
        </w:rPr>
        <w:t>P</w:t>
      </w:r>
      <w:r w:rsidRPr="004A613C">
        <w:rPr>
          <w:rFonts w:cs="Arial"/>
          <w:bCs/>
          <w:szCs w:val="20"/>
          <w:lang w:val="es-ES"/>
        </w:rPr>
        <w:t>uede utilizarse tanto para modelos omnicanal, e-commerce, como para el abastecimiento de filiales.</w:t>
      </w:r>
    </w:p>
    <w:p w14:paraId="7C704B0A" w14:textId="04CABB5D" w:rsidR="009B51CF" w:rsidRPr="004A613C" w:rsidRDefault="009B51CF" w:rsidP="004C4ACF">
      <w:pPr>
        <w:spacing w:line="360" w:lineRule="auto"/>
        <w:ind w:left="0" w:right="1693"/>
        <w:rPr>
          <w:rFonts w:cs="Arial"/>
          <w:bCs/>
          <w:szCs w:val="20"/>
          <w:lang w:val="es-ES"/>
        </w:rPr>
      </w:pPr>
    </w:p>
    <w:p w14:paraId="0FACD789" w14:textId="4C42F9FB" w:rsidR="00A87090" w:rsidRPr="004A613C" w:rsidRDefault="00A87090" w:rsidP="004C4ACF">
      <w:pPr>
        <w:spacing w:line="360" w:lineRule="auto"/>
        <w:ind w:left="0" w:right="1693"/>
        <w:rPr>
          <w:rFonts w:cs="Arial"/>
          <w:b/>
          <w:bCs/>
          <w:szCs w:val="20"/>
          <w:lang w:val="es-ES"/>
        </w:rPr>
      </w:pPr>
      <w:r w:rsidRPr="004A613C">
        <w:rPr>
          <w:rFonts w:cs="Arial"/>
          <w:b/>
          <w:bCs/>
          <w:szCs w:val="20"/>
          <w:lang w:val="es-ES"/>
        </w:rPr>
        <w:t>En el centro: la eficiencia energética</w:t>
      </w:r>
    </w:p>
    <w:p w14:paraId="5AA95D56" w14:textId="77777777" w:rsidR="00A87090" w:rsidRPr="004A613C" w:rsidRDefault="00A87090" w:rsidP="004C4ACF">
      <w:pPr>
        <w:spacing w:line="360" w:lineRule="auto"/>
        <w:ind w:left="0" w:right="1693"/>
        <w:rPr>
          <w:rFonts w:cs="Arial"/>
          <w:bCs/>
          <w:szCs w:val="20"/>
          <w:lang w:val="es-ES"/>
        </w:rPr>
      </w:pPr>
    </w:p>
    <w:p w14:paraId="09597FE8" w14:textId="680E3706" w:rsidR="004C4ACF" w:rsidRPr="002C7798" w:rsidRDefault="00157D30" w:rsidP="004C4ACF">
      <w:pPr>
        <w:spacing w:line="360" w:lineRule="auto"/>
        <w:ind w:left="0" w:right="1693"/>
        <w:rPr>
          <w:rFonts w:cs="Arial"/>
          <w:bCs/>
          <w:szCs w:val="20"/>
          <w:lang w:val="es-ES"/>
        </w:rPr>
      </w:pPr>
      <w:r w:rsidRPr="004A613C">
        <w:rPr>
          <w:rFonts w:cs="Arial"/>
          <w:bCs/>
          <w:szCs w:val="20"/>
          <w:lang w:val="es-ES"/>
        </w:rPr>
        <w:t xml:space="preserve">Un algoritmo inteligente que va marcando el ritmo desempeña un papel fundamental en la eficiencia energética del clasificador Natrix. </w:t>
      </w:r>
      <w:r>
        <w:rPr>
          <w:rFonts w:cs="Arial"/>
          <w:bCs/>
          <w:szCs w:val="20"/>
        </w:rPr>
        <w:t xml:space="preserve">Si la demanda es baja, el sistema consume menos energía. </w:t>
      </w:r>
      <w:r w:rsidRPr="004A613C">
        <w:rPr>
          <w:rFonts w:cs="Arial"/>
          <w:bCs/>
          <w:szCs w:val="20"/>
          <w:lang w:val="es-ES"/>
        </w:rPr>
        <w:t>Solo cuando es necesario, el control despliega toda la potencia. El uso de componentes que ahorran energía también contribuye al concepto global ecológico. No solo protege el medio ambiente, sino también a las</w:t>
      </w:r>
      <w:r w:rsidR="00F60E62">
        <w:rPr>
          <w:rFonts w:cs="Arial"/>
          <w:bCs/>
          <w:szCs w:val="20"/>
          <w:lang w:val="es-ES"/>
        </w:rPr>
        <w:t xml:space="preserve"> finanzas</w:t>
      </w:r>
      <w:r w:rsidRPr="004A613C">
        <w:rPr>
          <w:rFonts w:cs="Arial"/>
          <w:bCs/>
          <w:szCs w:val="20"/>
          <w:lang w:val="es-ES"/>
        </w:rPr>
        <w:t xml:space="preserve"> de la empresa. Utilizando componentes de alta calidad, los costes de mantenimiento son bajos y los intervalos prolongados. </w:t>
      </w:r>
      <w:r w:rsidRPr="002C7798">
        <w:rPr>
          <w:rFonts w:cs="Arial"/>
          <w:bCs/>
          <w:szCs w:val="20"/>
          <w:lang w:val="es-ES"/>
        </w:rPr>
        <w:t>Esto contribuye significativamente a unos bajos costes totales de propiedad (Total Cost of Ownership).</w:t>
      </w:r>
    </w:p>
    <w:p w14:paraId="2DA60D28" w14:textId="345A9ACC" w:rsidR="00473B5A" w:rsidRPr="002C7798" w:rsidRDefault="00473B5A" w:rsidP="006231AE">
      <w:pPr>
        <w:spacing w:line="360" w:lineRule="auto"/>
        <w:ind w:left="0" w:right="1693"/>
        <w:rPr>
          <w:rFonts w:cs="Arial"/>
          <w:szCs w:val="20"/>
          <w:lang w:val="es-ES"/>
        </w:rPr>
      </w:pPr>
    </w:p>
    <w:p w14:paraId="56537AE4" w14:textId="286E4A22" w:rsidR="00264FCF" w:rsidRDefault="002C7798" w:rsidP="003C0CE6">
      <w:pPr>
        <w:spacing w:line="360" w:lineRule="auto"/>
        <w:ind w:left="0" w:right="1693"/>
        <w:rPr>
          <w:rStyle w:val="Hyperlink"/>
          <w:lang w:val="en-AU"/>
        </w:rPr>
      </w:pPr>
      <w:hyperlink r:id="rId11" w:history="1">
        <w:r w:rsidR="00A82260" w:rsidRPr="00656EB4">
          <w:rPr>
            <w:rStyle w:val="Hyperlink"/>
            <w:lang w:val="en-GB"/>
          </w:rPr>
          <w:t>www.tgw-group.com</w:t>
        </w:r>
      </w:hyperlink>
    </w:p>
    <w:p w14:paraId="2A1EBB77" w14:textId="77777777" w:rsidR="00FB38CD" w:rsidRPr="005B7FEC" w:rsidRDefault="00FB38CD" w:rsidP="003C0CE6">
      <w:pPr>
        <w:spacing w:line="360" w:lineRule="auto"/>
        <w:ind w:left="0" w:right="1693"/>
        <w:rPr>
          <w:lang w:val="en-AU"/>
        </w:rPr>
      </w:pPr>
    </w:p>
    <w:p w14:paraId="79C78884" w14:textId="029FE531" w:rsidR="00B018E2" w:rsidRDefault="00B018E2" w:rsidP="00BC7952">
      <w:pPr>
        <w:spacing w:line="240" w:lineRule="auto"/>
        <w:ind w:left="0" w:right="1693"/>
        <w:rPr>
          <w:rStyle w:val="Hyperlink"/>
          <w:b/>
          <w:color w:val="auto"/>
          <w:u w:val="none"/>
          <w:lang w:val="en-AU"/>
        </w:rPr>
      </w:pPr>
    </w:p>
    <w:p w14:paraId="5B9E61FB" w14:textId="6B4D9E30" w:rsidR="00BC7952" w:rsidRPr="00071B58" w:rsidRDefault="00BC7952" w:rsidP="00BC7952">
      <w:pPr>
        <w:spacing w:line="240" w:lineRule="auto"/>
        <w:ind w:left="0" w:right="1693"/>
        <w:rPr>
          <w:rStyle w:val="Hyperlink"/>
          <w:b/>
          <w:color w:val="auto"/>
          <w:u w:val="none"/>
          <w:lang w:val="en-AU"/>
        </w:rPr>
      </w:pPr>
      <w:proofErr w:type="spellStart"/>
      <w:r w:rsidRPr="00656EB4">
        <w:rPr>
          <w:rStyle w:val="Hyperlink"/>
          <w:b/>
          <w:color w:val="auto"/>
          <w:u w:val="none"/>
          <w:lang w:val="en-GB"/>
        </w:rPr>
        <w:t>Acerca</w:t>
      </w:r>
      <w:proofErr w:type="spellEnd"/>
      <w:r w:rsidRPr="00656EB4">
        <w:rPr>
          <w:rStyle w:val="Hyperlink"/>
          <w:b/>
          <w:color w:val="auto"/>
          <w:u w:val="none"/>
          <w:lang w:val="en-GB"/>
        </w:rPr>
        <w:t xml:space="preserve"> de TGW </w:t>
      </w:r>
      <w:bookmarkStart w:id="0" w:name="_GoBack"/>
      <w:bookmarkEnd w:id="0"/>
      <w:r w:rsidRPr="00656EB4">
        <w:rPr>
          <w:rStyle w:val="Hyperlink"/>
          <w:b/>
          <w:color w:val="auto"/>
          <w:u w:val="none"/>
          <w:lang w:val="en-GB"/>
        </w:rPr>
        <w:t>Logistics Group:</w:t>
      </w:r>
    </w:p>
    <w:p w14:paraId="6621BC43" w14:textId="77777777" w:rsidR="00BC7952" w:rsidRPr="002C7798" w:rsidRDefault="00BC7952" w:rsidP="00BC7952">
      <w:pPr>
        <w:spacing w:line="240" w:lineRule="auto"/>
        <w:ind w:left="0" w:right="1693"/>
        <w:rPr>
          <w:rStyle w:val="Hyperlink"/>
          <w:color w:val="auto"/>
          <w:u w:val="none"/>
          <w:lang w:val="es-ES"/>
        </w:rPr>
      </w:pPr>
      <w:r w:rsidRPr="004A613C">
        <w:rPr>
          <w:rStyle w:val="Hyperlink"/>
          <w:color w:val="auto"/>
          <w:u w:val="none"/>
          <w:lang w:val="es-ES"/>
        </w:rPr>
        <w:t xml:space="preserve">TGW Logistics Group es un proveedor internacional líder de soluciones de intralogística. </w:t>
      </w:r>
      <w:r w:rsidRPr="002C7798">
        <w:rPr>
          <w:rStyle w:val="Hyperlink"/>
          <w:color w:val="auto"/>
          <w:u w:val="none"/>
          <w:lang w:val="es-ES"/>
        </w:rPr>
        <w:t>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2C7798" w:rsidRDefault="00BC7952" w:rsidP="00BC7952">
      <w:pPr>
        <w:spacing w:line="240" w:lineRule="auto"/>
        <w:ind w:left="0" w:right="1693"/>
        <w:rPr>
          <w:rStyle w:val="Hyperlink"/>
          <w:color w:val="auto"/>
          <w:u w:val="none"/>
          <w:lang w:val="es-ES"/>
        </w:rPr>
      </w:pPr>
    </w:p>
    <w:p w14:paraId="38EED38F" w14:textId="52CE7882" w:rsidR="00BC7952" w:rsidRPr="002C7798" w:rsidRDefault="00BC7952" w:rsidP="00BC7952">
      <w:pPr>
        <w:spacing w:line="240" w:lineRule="auto"/>
        <w:ind w:left="0" w:right="1693"/>
        <w:rPr>
          <w:rStyle w:val="Hyperlink"/>
          <w:color w:val="auto"/>
          <w:u w:val="none"/>
          <w:lang w:val="es-ES"/>
        </w:rPr>
      </w:pPr>
      <w:r w:rsidRPr="004A613C">
        <w:rPr>
          <w:rStyle w:val="Hyperlink"/>
          <w:color w:val="auto"/>
          <w:u w:val="none"/>
          <w:lang w:val="es-ES"/>
        </w:rPr>
        <w:t xml:space="preserve">TGW Logistics Group tiene oficinas en Europa, China y EE. UU. y emplea a más de 4.000 personas en todo el mundo. </w:t>
      </w:r>
      <w:r w:rsidRPr="002C7798">
        <w:rPr>
          <w:rStyle w:val="Hyperlink"/>
          <w:color w:val="auto"/>
          <w:u w:val="none"/>
          <w:lang w:val="es-ES"/>
        </w:rPr>
        <w:t>En el ejercicio 2012/2021, la empresa obtuvo una facturación total de 813 millones de euros.</w:t>
      </w:r>
    </w:p>
    <w:p w14:paraId="3D36E606" w14:textId="77777777" w:rsidR="00BC7952" w:rsidRPr="002C7798" w:rsidRDefault="00BC7952" w:rsidP="00BC7952">
      <w:pPr>
        <w:spacing w:line="240" w:lineRule="auto"/>
        <w:ind w:left="0" w:right="1693"/>
        <w:rPr>
          <w:rStyle w:val="Hyperlink"/>
          <w:color w:val="auto"/>
          <w:u w:val="none"/>
          <w:lang w:val="es-ES"/>
        </w:rPr>
      </w:pPr>
    </w:p>
    <w:p w14:paraId="7E233C2F" w14:textId="77777777" w:rsidR="00BC7952" w:rsidRPr="002C7798" w:rsidRDefault="00BC7952" w:rsidP="00BC7952">
      <w:pPr>
        <w:spacing w:line="240" w:lineRule="auto"/>
        <w:ind w:left="0" w:right="1693"/>
        <w:rPr>
          <w:rStyle w:val="Hyperlink"/>
          <w:color w:val="auto"/>
          <w:u w:val="none"/>
          <w:lang w:val="es-ES"/>
        </w:rPr>
      </w:pPr>
    </w:p>
    <w:p w14:paraId="28C8C645" w14:textId="77777777" w:rsidR="00BC7952" w:rsidRPr="002C7798" w:rsidRDefault="00BC7952" w:rsidP="00BC7952">
      <w:pPr>
        <w:spacing w:line="240" w:lineRule="auto"/>
        <w:ind w:left="0" w:right="1693"/>
        <w:rPr>
          <w:rStyle w:val="Hyperlink"/>
          <w:color w:val="auto"/>
          <w:u w:val="none"/>
          <w:lang w:val="es-ES"/>
        </w:rPr>
      </w:pPr>
    </w:p>
    <w:p w14:paraId="396B0DD3" w14:textId="77777777" w:rsidR="00BC7952" w:rsidRPr="002C7798" w:rsidRDefault="00BC7952" w:rsidP="00BC7952">
      <w:pPr>
        <w:spacing w:line="240" w:lineRule="auto"/>
        <w:ind w:left="0" w:right="1693"/>
        <w:rPr>
          <w:rStyle w:val="Hyperlink"/>
          <w:b/>
          <w:color w:val="auto"/>
          <w:u w:val="none"/>
          <w:lang w:val="es-ES"/>
        </w:rPr>
      </w:pPr>
      <w:r w:rsidRPr="002C7798">
        <w:rPr>
          <w:rStyle w:val="Hyperlink"/>
          <w:b/>
          <w:color w:val="auto"/>
          <w:u w:val="none"/>
          <w:lang w:val="es-ES"/>
        </w:rPr>
        <w:t>Ilustraciones:</w:t>
      </w:r>
    </w:p>
    <w:p w14:paraId="5AFE1970" w14:textId="77777777" w:rsidR="00BC7952" w:rsidRPr="002C7798" w:rsidRDefault="00BC7952" w:rsidP="00BC7952">
      <w:pPr>
        <w:spacing w:line="240" w:lineRule="auto"/>
        <w:ind w:left="0" w:right="1693"/>
        <w:rPr>
          <w:rStyle w:val="Hyperlink"/>
          <w:color w:val="auto"/>
          <w:u w:val="none"/>
          <w:lang w:val="es-ES"/>
        </w:rPr>
      </w:pPr>
      <w:r w:rsidRPr="002C7798">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6122C9F5" w14:textId="77777777" w:rsidR="00BC7952" w:rsidRPr="002C7798" w:rsidRDefault="00BC7952" w:rsidP="00BC7952">
      <w:pPr>
        <w:spacing w:line="240" w:lineRule="auto"/>
        <w:ind w:left="0" w:right="1693"/>
        <w:rPr>
          <w:rStyle w:val="Hyperlink"/>
          <w:color w:val="auto"/>
          <w:u w:val="none"/>
          <w:lang w:val="es-ES"/>
        </w:rPr>
      </w:pPr>
    </w:p>
    <w:p w14:paraId="0EAAA7E7" w14:textId="77777777" w:rsidR="00BC7952" w:rsidRPr="002C7798" w:rsidRDefault="00BC7952" w:rsidP="00BC7952">
      <w:pPr>
        <w:spacing w:line="240" w:lineRule="auto"/>
        <w:ind w:left="0" w:right="1693"/>
        <w:rPr>
          <w:rStyle w:val="Hyperlink"/>
          <w:color w:val="auto"/>
          <w:u w:val="none"/>
          <w:lang w:val="es-ES"/>
        </w:rPr>
      </w:pPr>
    </w:p>
    <w:p w14:paraId="43F811F9" w14:textId="77777777" w:rsidR="00BC7952" w:rsidRPr="002C7798" w:rsidRDefault="00BC7952" w:rsidP="00BC7952">
      <w:pPr>
        <w:spacing w:line="240" w:lineRule="auto"/>
        <w:ind w:left="0" w:right="1693"/>
        <w:rPr>
          <w:rStyle w:val="Hyperlink"/>
          <w:b/>
          <w:color w:val="auto"/>
          <w:u w:val="none"/>
          <w:lang w:val="es-ES"/>
        </w:rPr>
      </w:pPr>
      <w:r w:rsidRPr="002C7798">
        <w:rPr>
          <w:rStyle w:val="Hyperlink"/>
          <w:b/>
          <w:color w:val="auto"/>
          <w:u w:val="none"/>
          <w:lang w:val="es-ES"/>
        </w:rPr>
        <w:t>Contacto:</w:t>
      </w:r>
    </w:p>
    <w:p w14:paraId="1ED65B1F" w14:textId="77777777" w:rsidR="00BC7952" w:rsidRPr="002C7798" w:rsidRDefault="00BC7952" w:rsidP="00BC7952">
      <w:pPr>
        <w:spacing w:line="240" w:lineRule="auto"/>
        <w:ind w:left="0" w:right="1693"/>
        <w:rPr>
          <w:rStyle w:val="Hyperlink"/>
          <w:color w:val="auto"/>
          <w:u w:val="none"/>
          <w:lang w:val="es-ES"/>
        </w:rPr>
      </w:pPr>
      <w:r w:rsidRPr="002C7798">
        <w:rPr>
          <w:rStyle w:val="Hyperlink"/>
          <w:color w:val="auto"/>
          <w:u w:val="none"/>
          <w:lang w:val="es-ES"/>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2C7798" w:rsidRDefault="00BC7952" w:rsidP="00BC7952">
      <w:pPr>
        <w:spacing w:line="240" w:lineRule="auto"/>
        <w:ind w:left="0" w:right="1693"/>
        <w:rPr>
          <w:rStyle w:val="Hyperlink"/>
          <w:color w:val="auto"/>
          <w:u w:val="none"/>
          <w:lang w:val="es-ES"/>
        </w:rPr>
      </w:pPr>
      <w:r w:rsidRPr="002C7798">
        <w:rPr>
          <w:rStyle w:val="Hyperlink"/>
          <w:color w:val="auto"/>
          <w:u w:val="none"/>
          <w:lang w:val="es-ES"/>
        </w:rPr>
        <w:t>T: +43.(0)50.486-0</w:t>
      </w:r>
    </w:p>
    <w:p w14:paraId="10684A6E" w14:textId="77777777" w:rsidR="00BC7952" w:rsidRPr="002C7798" w:rsidRDefault="00BC7952" w:rsidP="00BC7952">
      <w:pPr>
        <w:spacing w:line="240" w:lineRule="auto"/>
        <w:ind w:left="0" w:right="1693"/>
        <w:rPr>
          <w:rStyle w:val="Hyperlink"/>
          <w:color w:val="auto"/>
          <w:u w:val="none"/>
          <w:lang w:val="es-ES"/>
        </w:rPr>
      </w:pPr>
      <w:r w:rsidRPr="002C7798">
        <w:rPr>
          <w:rStyle w:val="Hyperlink"/>
          <w:color w:val="auto"/>
          <w:u w:val="none"/>
          <w:lang w:val="es-ES"/>
        </w:rPr>
        <w:t>F: +43.(0)50.486-31</w:t>
      </w:r>
    </w:p>
    <w:p w14:paraId="0BFC0F91" w14:textId="77777777" w:rsidR="00BC7952" w:rsidRPr="002C7798" w:rsidRDefault="00BC7952" w:rsidP="00BC7952">
      <w:pPr>
        <w:spacing w:line="240" w:lineRule="auto"/>
        <w:ind w:left="0" w:right="1693"/>
        <w:rPr>
          <w:rStyle w:val="Hyperlink"/>
          <w:color w:val="auto"/>
          <w:u w:val="none"/>
          <w:lang w:val="es-ES"/>
        </w:rPr>
      </w:pPr>
      <w:r w:rsidRPr="002C7798">
        <w:rPr>
          <w:rStyle w:val="Hyperlink"/>
          <w:color w:val="auto"/>
          <w:u w:val="none"/>
          <w:lang w:val="es-ES"/>
        </w:rPr>
        <w:t>Correo electrónico: tgw@tgw-group.com</w:t>
      </w:r>
    </w:p>
    <w:p w14:paraId="5FEDEA97" w14:textId="77777777" w:rsidR="00BC7952" w:rsidRPr="002C7798" w:rsidRDefault="00BC7952" w:rsidP="00BC7952">
      <w:pPr>
        <w:spacing w:line="240" w:lineRule="auto"/>
        <w:ind w:left="0" w:right="1693"/>
        <w:rPr>
          <w:rStyle w:val="Hyperlink"/>
          <w:color w:val="auto"/>
          <w:u w:val="none"/>
          <w:lang w:val="es-ES"/>
        </w:rPr>
      </w:pPr>
    </w:p>
    <w:p w14:paraId="454D968B" w14:textId="77777777" w:rsidR="00F92A0D" w:rsidRPr="002C7798" w:rsidRDefault="00F92A0D" w:rsidP="00BC7952">
      <w:pPr>
        <w:spacing w:line="240" w:lineRule="auto"/>
        <w:ind w:left="0" w:right="1693"/>
        <w:rPr>
          <w:rStyle w:val="Hyperlink"/>
          <w:color w:val="auto"/>
          <w:u w:val="none"/>
          <w:lang w:val="es-ES"/>
        </w:rPr>
      </w:pPr>
    </w:p>
    <w:p w14:paraId="4C953DB8" w14:textId="77777777" w:rsidR="00F92A0D" w:rsidRDefault="00F92A0D" w:rsidP="00BC7952">
      <w:pPr>
        <w:spacing w:line="240" w:lineRule="auto"/>
        <w:ind w:left="0" w:right="1693"/>
        <w:rPr>
          <w:rStyle w:val="Hyperlink"/>
          <w:color w:val="auto"/>
          <w:u w:val="none"/>
          <w:lang w:val="en-AU"/>
        </w:rPr>
      </w:pPr>
      <w:proofErr w:type="spellStart"/>
      <w:r w:rsidRPr="00656EB4">
        <w:rPr>
          <w:rStyle w:val="Hyperlink"/>
          <w:color w:val="auto"/>
          <w:u w:val="none"/>
          <w:lang w:val="en-GB"/>
        </w:rPr>
        <w:t>Contacto</w:t>
      </w:r>
      <w:proofErr w:type="spellEnd"/>
      <w:r w:rsidRPr="00656EB4">
        <w:rPr>
          <w:rStyle w:val="Hyperlink"/>
          <w:color w:val="auto"/>
          <w:u w:val="none"/>
          <w:lang w:val="en-GB"/>
        </w:rPr>
        <w:t xml:space="preserve"> de </w:t>
      </w:r>
      <w:proofErr w:type="spellStart"/>
      <w:r w:rsidRPr="00656EB4">
        <w:rPr>
          <w:rStyle w:val="Hyperlink"/>
          <w:color w:val="auto"/>
          <w:u w:val="none"/>
          <w:lang w:val="en-GB"/>
        </w:rPr>
        <w:t>prensa</w:t>
      </w:r>
      <w:proofErr w:type="spellEnd"/>
      <w:r w:rsidRPr="00656EB4">
        <w:rPr>
          <w:rStyle w:val="Hyperlink"/>
          <w:color w:val="auto"/>
          <w:u w:val="none"/>
          <w:lang w:val="en-GB"/>
        </w:rPr>
        <w:t>:</w:t>
      </w:r>
    </w:p>
    <w:p w14:paraId="146D92EA" w14:textId="77777777" w:rsidR="00F92A0D" w:rsidRPr="00D1043D" w:rsidRDefault="00BC7952" w:rsidP="00BC7952">
      <w:pPr>
        <w:spacing w:line="240" w:lineRule="auto"/>
        <w:ind w:left="0" w:right="1693"/>
        <w:rPr>
          <w:rStyle w:val="Hyperlink"/>
          <w:color w:val="auto"/>
          <w:u w:val="none"/>
          <w:lang w:val="en-AU"/>
        </w:rPr>
      </w:pPr>
      <w:r w:rsidRPr="00656EB4">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656EB4">
        <w:rPr>
          <w:rStyle w:val="Hyperlink"/>
          <w:color w:val="auto"/>
          <w:u w:val="none"/>
          <w:lang w:val="en-GB"/>
        </w:rPr>
        <w:t>Communications Specialist</w:t>
      </w:r>
    </w:p>
    <w:p w14:paraId="6FC4F852" w14:textId="77777777" w:rsidR="00BC7952" w:rsidRPr="00656EB4" w:rsidRDefault="00BC7952" w:rsidP="00BC7952">
      <w:pPr>
        <w:spacing w:line="240" w:lineRule="auto"/>
        <w:ind w:left="0" w:right="1693"/>
        <w:rPr>
          <w:rStyle w:val="Hyperlink"/>
          <w:color w:val="auto"/>
          <w:u w:val="none"/>
        </w:rPr>
      </w:pPr>
      <w:r>
        <w:rPr>
          <w:rStyle w:val="Hyperlink"/>
          <w:color w:val="auto"/>
          <w:u w:val="none"/>
        </w:rPr>
        <w:t>T: +43.(0)50.486-2267</w:t>
      </w:r>
    </w:p>
    <w:p w14:paraId="72774883" w14:textId="77777777" w:rsidR="00BC7952" w:rsidRPr="00656EB4" w:rsidRDefault="00BC7952" w:rsidP="00BC7952">
      <w:pPr>
        <w:spacing w:line="240" w:lineRule="auto"/>
        <w:ind w:left="0" w:right="1693"/>
        <w:rPr>
          <w:rStyle w:val="Hyperlink"/>
          <w:color w:val="auto"/>
          <w:u w:val="none"/>
        </w:rPr>
      </w:pPr>
      <w:r>
        <w:rPr>
          <w:rStyle w:val="Hyperlink"/>
          <w:color w:val="auto"/>
          <w:u w:val="none"/>
        </w:rPr>
        <w:t>M: +43.(0)664.88459713</w:t>
      </w:r>
    </w:p>
    <w:p w14:paraId="6525CAFD" w14:textId="77777777" w:rsidR="00BC7952" w:rsidRPr="00656EB4" w:rsidRDefault="00BC7952" w:rsidP="00BC7952">
      <w:pPr>
        <w:spacing w:line="240" w:lineRule="auto"/>
        <w:ind w:left="0" w:right="1693"/>
      </w:pPr>
      <w:r>
        <w:rPr>
          <w:rStyle w:val="Hyperlink"/>
          <w:color w:val="auto"/>
          <w:u w:val="none"/>
        </w:rPr>
        <w:t>alexander.tahedl@tgw-group.com</w:t>
      </w:r>
    </w:p>
    <w:p w14:paraId="75E9406C" w14:textId="77777777" w:rsidR="00BC7952" w:rsidRPr="00656EB4" w:rsidRDefault="00BC7952" w:rsidP="00BC7952">
      <w:pPr>
        <w:spacing w:line="240" w:lineRule="auto"/>
        <w:ind w:left="0" w:right="1693"/>
        <w:rPr>
          <w:rStyle w:val="Hyperlink"/>
          <w:color w:val="auto"/>
          <w:u w:val="none"/>
        </w:rPr>
      </w:pPr>
    </w:p>
    <w:p w14:paraId="10595A63" w14:textId="77777777" w:rsidR="00F92A0D" w:rsidRPr="00656EB4"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656EB4">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656EB4">
        <w:rPr>
          <w:rStyle w:val="Hyperlink"/>
          <w:color w:val="auto"/>
          <w:u w:val="none"/>
          <w:lang w:val="en-GB"/>
        </w:rPr>
        <w:t>Director Marketing &amp; Communications</w:t>
      </w:r>
    </w:p>
    <w:p w14:paraId="5E14B397" w14:textId="77777777" w:rsidR="00BC7952" w:rsidRPr="00656EB4" w:rsidRDefault="00BC7952" w:rsidP="00BC7952">
      <w:pPr>
        <w:spacing w:line="240" w:lineRule="auto"/>
        <w:ind w:left="0" w:right="1693"/>
        <w:rPr>
          <w:rStyle w:val="Hyperlink"/>
          <w:color w:val="auto"/>
          <w:u w:val="none"/>
          <w:lang w:val="en-GB"/>
        </w:rPr>
      </w:pPr>
      <w:r w:rsidRPr="00656EB4">
        <w:rPr>
          <w:rStyle w:val="Hyperlink"/>
          <w:color w:val="auto"/>
          <w:u w:val="none"/>
          <w:lang w:val="en-GB"/>
        </w:rPr>
        <w:t>T: +43</w:t>
      </w:r>
      <w:proofErr w:type="gramStart"/>
      <w:r w:rsidRPr="00656EB4">
        <w:rPr>
          <w:rStyle w:val="Hyperlink"/>
          <w:color w:val="auto"/>
          <w:u w:val="none"/>
          <w:lang w:val="en-GB"/>
        </w:rPr>
        <w:t>.(</w:t>
      </w:r>
      <w:proofErr w:type="gramEnd"/>
      <w:r w:rsidRPr="00656EB4">
        <w:rPr>
          <w:rStyle w:val="Hyperlink"/>
          <w:color w:val="auto"/>
          <w:u w:val="none"/>
          <w:lang w:val="en-GB"/>
        </w:rPr>
        <w:t>0)50.486-1382</w:t>
      </w:r>
    </w:p>
    <w:p w14:paraId="5B3A92ED" w14:textId="77777777" w:rsidR="00BC7952" w:rsidRPr="00656EB4" w:rsidRDefault="00BC7952" w:rsidP="00BC7952">
      <w:pPr>
        <w:spacing w:line="240" w:lineRule="auto"/>
        <w:ind w:left="0" w:right="1693"/>
        <w:rPr>
          <w:rStyle w:val="Hyperlink"/>
          <w:color w:val="auto"/>
          <w:u w:val="none"/>
          <w:lang w:val="en-GB"/>
        </w:rPr>
      </w:pPr>
      <w:r w:rsidRPr="00656EB4">
        <w:rPr>
          <w:rStyle w:val="Hyperlink"/>
          <w:color w:val="auto"/>
          <w:u w:val="none"/>
          <w:lang w:val="en-GB"/>
        </w:rPr>
        <w:t>M: +43</w:t>
      </w:r>
      <w:proofErr w:type="gramStart"/>
      <w:r w:rsidRPr="00656EB4">
        <w:rPr>
          <w:rStyle w:val="Hyperlink"/>
          <w:color w:val="auto"/>
          <w:u w:val="none"/>
          <w:lang w:val="en-GB"/>
        </w:rPr>
        <w:t>.(</w:t>
      </w:r>
      <w:proofErr w:type="gramEnd"/>
      <w:r w:rsidRPr="00656EB4">
        <w:rPr>
          <w:rStyle w:val="Hyperlink"/>
          <w:color w:val="auto"/>
          <w:u w:val="none"/>
          <w:lang w:val="en-GB"/>
        </w:rPr>
        <w:t>0)664.8187423</w:t>
      </w:r>
    </w:p>
    <w:p w14:paraId="71237D97" w14:textId="77777777" w:rsidR="00BC7952" w:rsidRPr="00656EB4" w:rsidRDefault="00BC7952" w:rsidP="00BC7952">
      <w:pPr>
        <w:spacing w:line="240" w:lineRule="auto"/>
        <w:ind w:left="0" w:right="1693"/>
        <w:rPr>
          <w:rStyle w:val="Hyperlink"/>
          <w:color w:val="auto"/>
          <w:u w:val="none"/>
          <w:lang w:val="en-GB"/>
        </w:rPr>
      </w:pPr>
      <w:r w:rsidRPr="00656EB4">
        <w:rPr>
          <w:rStyle w:val="Hyperlink"/>
          <w:color w:val="auto"/>
          <w:u w:val="none"/>
          <w:lang w:val="en-GB"/>
        </w:rPr>
        <w:t>martin.kirchmayr@tgw-group.com</w:t>
      </w:r>
    </w:p>
    <w:p w14:paraId="7995EE7B" w14:textId="77777777" w:rsidR="00BC7952" w:rsidRPr="00656EB4" w:rsidRDefault="00BC7952" w:rsidP="00BC7952">
      <w:pPr>
        <w:spacing w:line="240" w:lineRule="auto"/>
        <w:ind w:left="0" w:right="1693"/>
        <w:rPr>
          <w:rStyle w:val="Hyperlink"/>
          <w:color w:val="auto"/>
          <w:u w:val="none"/>
          <w:lang w:val="en-GB"/>
        </w:rPr>
      </w:pPr>
    </w:p>
    <w:p w14:paraId="07EAE2CB" w14:textId="77777777" w:rsidR="00BC7952" w:rsidRPr="00656EB4" w:rsidRDefault="00BC7952" w:rsidP="00BC7952">
      <w:pPr>
        <w:spacing w:line="240" w:lineRule="auto"/>
        <w:ind w:left="0" w:right="1693"/>
        <w:rPr>
          <w:lang w:val="en-GB"/>
        </w:rPr>
      </w:pPr>
    </w:p>
    <w:p w14:paraId="590B2DD5" w14:textId="77777777" w:rsidR="006231AE" w:rsidRPr="00656EB4" w:rsidRDefault="006231AE" w:rsidP="006231AE">
      <w:pPr>
        <w:ind w:left="0" w:right="1693"/>
        <w:rPr>
          <w:lang w:val="en-GB"/>
        </w:rPr>
      </w:pPr>
    </w:p>
    <w:sectPr w:rsidR="006231AE" w:rsidRPr="00656EB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5180" w14:textId="77777777" w:rsidR="002F6489" w:rsidRDefault="002F6489" w:rsidP="00764006">
      <w:pPr>
        <w:spacing w:line="240" w:lineRule="auto"/>
      </w:pPr>
      <w:r>
        <w:separator/>
      </w:r>
    </w:p>
  </w:endnote>
  <w:endnote w:type="continuationSeparator" w:id="0">
    <w:p w14:paraId="6C25AA0A" w14:textId="77777777" w:rsidR="002F6489" w:rsidRDefault="002F648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268252A"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C7798">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C7798">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82EF" w14:textId="77777777" w:rsidR="002F6489" w:rsidRDefault="002F6489" w:rsidP="00764006">
      <w:pPr>
        <w:spacing w:line="240" w:lineRule="auto"/>
      </w:pPr>
      <w:r>
        <w:separator/>
      </w:r>
    </w:p>
  </w:footnote>
  <w:footnote w:type="continuationSeparator" w:id="0">
    <w:p w14:paraId="3F360056" w14:textId="77777777" w:rsidR="002F6489" w:rsidRDefault="002F648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308708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946002"/>
    <w:multiLevelType w:val="hybridMultilevel"/>
    <w:tmpl w:val="DC4AA58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C72B5D"/>
    <w:multiLevelType w:val="hybridMultilevel"/>
    <w:tmpl w:val="8AD0BB4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1ED88D20"/>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5"/>
  </w:num>
  <w:num w:numId="7">
    <w:abstractNumId w:val="1"/>
  </w:num>
  <w:num w:numId="8">
    <w:abstractNumId w:val="17"/>
  </w:num>
  <w:num w:numId="9">
    <w:abstractNumId w:val="7"/>
  </w:num>
  <w:num w:numId="10">
    <w:abstractNumId w:val="21"/>
  </w:num>
  <w:num w:numId="11">
    <w:abstractNumId w:val="12"/>
  </w:num>
  <w:num w:numId="12">
    <w:abstractNumId w:val="8"/>
  </w:num>
  <w:num w:numId="13">
    <w:abstractNumId w:val="6"/>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438"/>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5A72"/>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44F2"/>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C59D8"/>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9B7"/>
    <w:rsid w:val="00111A67"/>
    <w:rsid w:val="00112068"/>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C8D"/>
    <w:rsid w:val="00165945"/>
    <w:rsid w:val="00165988"/>
    <w:rsid w:val="00165EB0"/>
    <w:rsid w:val="001671D5"/>
    <w:rsid w:val="0016742A"/>
    <w:rsid w:val="001702C8"/>
    <w:rsid w:val="0017041B"/>
    <w:rsid w:val="00170529"/>
    <w:rsid w:val="00170957"/>
    <w:rsid w:val="001744EA"/>
    <w:rsid w:val="001754C6"/>
    <w:rsid w:val="00176AC5"/>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21F"/>
    <w:rsid w:val="001A743C"/>
    <w:rsid w:val="001A7904"/>
    <w:rsid w:val="001B0DAB"/>
    <w:rsid w:val="001B28D5"/>
    <w:rsid w:val="001B450B"/>
    <w:rsid w:val="001B46E9"/>
    <w:rsid w:val="001B4929"/>
    <w:rsid w:val="001B7227"/>
    <w:rsid w:val="001B7EEA"/>
    <w:rsid w:val="001C050F"/>
    <w:rsid w:val="001C1838"/>
    <w:rsid w:val="001C1AC7"/>
    <w:rsid w:val="001C40DE"/>
    <w:rsid w:val="001C5298"/>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44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4808"/>
    <w:rsid w:val="00226B41"/>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185F"/>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09CF"/>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C75B0"/>
    <w:rsid w:val="002C7798"/>
    <w:rsid w:val="002D039B"/>
    <w:rsid w:val="002D1970"/>
    <w:rsid w:val="002D44D3"/>
    <w:rsid w:val="002D6158"/>
    <w:rsid w:val="002E58ED"/>
    <w:rsid w:val="002E789B"/>
    <w:rsid w:val="002F3A9A"/>
    <w:rsid w:val="002F43AF"/>
    <w:rsid w:val="002F4DC4"/>
    <w:rsid w:val="002F5287"/>
    <w:rsid w:val="002F55CE"/>
    <w:rsid w:val="002F565F"/>
    <w:rsid w:val="002F6489"/>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9E1"/>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2E9E"/>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35"/>
    <w:rsid w:val="003C0CE6"/>
    <w:rsid w:val="003C12E8"/>
    <w:rsid w:val="003C1FED"/>
    <w:rsid w:val="003C2604"/>
    <w:rsid w:val="003C3E15"/>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23C"/>
    <w:rsid w:val="00401382"/>
    <w:rsid w:val="00401817"/>
    <w:rsid w:val="004022C2"/>
    <w:rsid w:val="00406298"/>
    <w:rsid w:val="0040634E"/>
    <w:rsid w:val="0040644C"/>
    <w:rsid w:val="004067A6"/>
    <w:rsid w:val="00412090"/>
    <w:rsid w:val="00413E54"/>
    <w:rsid w:val="00415EE9"/>
    <w:rsid w:val="00416095"/>
    <w:rsid w:val="00420D2C"/>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613C"/>
    <w:rsid w:val="004A785D"/>
    <w:rsid w:val="004A7A0D"/>
    <w:rsid w:val="004B16B8"/>
    <w:rsid w:val="004B219C"/>
    <w:rsid w:val="004B21DF"/>
    <w:rsid w:val="004B27D8"/>
    <w:rsid w:val="004B3F79"/>
    <w:rsid w:val="004B4A07"/>
    <w:rsid w:val="004B6E67"/>
    <w:rsid w:val="004C0508"/>
    <w:rsid w:val="004C06A9"/>
    <w:rsid w:val="004C07E3"/>
    <w:rsid w:val="004C2225"/>
    <w:rsid w:val="004C36B9"/>
    <w:rsid w:val="004C4ACF"/>
    <w:rsid w:val="004C518C"/>
    <w:rsid w:val="004C675F"/>
    <w:rsid w:val="004C74E5"/>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7AC4"/>
    <w:rsid w:val="004E7C4A"/>
    <w:rsid w:val="004F3F04"/>
    <w:rsid w:val="004F4796"/>
    <w:rsid w:val="004F4842"/>
    <w:rsid w:val="004F4BFF"/>
    <w:rsid w:val="004F6224"/>
    <w:rsid w:val="004F6ECF"/>
    <w:rsid w:val="0050153C"/>
    <w:rsid w:val="00502112"/>
    <w:rsid w:val="00503329"/>
    <w:rsid w:val="0050424B"/>
    <w:rsid w:val="005054EF"/>
    <w:rsid w:val="0050713A"/>
    <w:rsid w:val="00507251"/>
    <w:rsid w:val="005136AB"/>
    <w:rsid w:val="00513E41"/>
    <w:rsid w:val="00517852"/>
    <w:rsid w:val="005179EA"/>
    <w:rsid w:val="00521351"/>
    <w:rsid w:val="00521C19"/>
    <w:rsid w:val="00522A0E"/>
    <w:rsid w:val="00523149"/>
    <w:rsid w:val="005238D5"/>
    <w:rsid w:val="005248E5"/>
    <w:rsid w:val="0052559B"/>
    <w:rsid w:val="005331E2"/>
    <w:rsid w:val="00534D59"/>
    <w:rsid w:val="00537584"/>
    <w:rsid w:val="005401C3"/>
    <w:rsid w:val="0054155C"/>
    <w:rsid w:val="0054291F"/>
    <w:rsid w:val="00542C87"/>
    <w:rsid w:val="00543928"/>
    <w:rsid w:val="00546AC8"/>
    <w:rsid w:val="00551EBC"/>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D48"/>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40F5"/>
    <w:rsid w:val="005C423B"/>
    <w:rsid w:val="005C52BE"/>
    <w:rsid w:val="005C636B"/>
    <w:rsid w:val="005D0C18"/>
    <w:rsid w:val="005D1282"/>
    <w:rsid w:val="005D13F3"/>
    <w:rsid w:val="005D2CEF"/>
    <w:rsid w:val="005D3E2A"/>
    <w:rsid w:val="005D4155"/>
    <w:rsid w:val="005D56DA"/>
    <w:rsid w:val="005D5F47"/>
    <w:rsid w:val="005D5FBF"/>
    <w:rsid w:val="005D6166"/>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546A"/>
    <w:rsid w:val="006257E4"/>
    <w:rsid w:val="00626565"/>
    <w:rsid w:val="00627228"/>
    <w:rsid w:val="006273C7"/>
    <w:rsid w:val="0063006D"/>
    <w:rsid w:val="00630AA6"/>
    <w:rsid w:val="0063198D"/>
    <w:rsid w:val="00632088"/>
    <w:rsid w:val="00632BC2"/>
    <w:rsid w:val="0063497A"/>
    <w:rsid w:val="006377A9"/>
    <w:rsid w:val="006437FF"/>
    <w:rsid w:val="00643CDE"/>
    <w:rsid w:val="00644F94"/>
    <w:rsid w:val="006474AB"/>
    <w:rsid w:val="00647DAE"/>
    <w:rsid w:val="00650DF4"/>
    <w:rsid w:val="006527DF"/>
    <w:rsid w:val="006564C4"/>
    <w:rsid w:val="00656861"/>
    <w:rsid w:val="00656EB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1804"/>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184A"/>
    <w:rsid w:val="00712E6D"/>
    <w:rsid w:val="007134AA"/>
    <w:rsid w:val="00713C9F"/>
    <w:rsid w:val="007155E9"/>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323"/>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6FE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0B1"/>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0098"/>
    <w:rsid w:val="00802C56"/>
    <w:rsid w:val="00804174"/>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17A72"/>
    <w:rsid w:val="00820146"/>
    <w:rsid w:val="008212BD"/>
    <w:rsid w:val="0082145B"/>
    <w:rsid w:val="00821A26"/>
    <w:rsid w:val="00821F27"/>
    <w:rsid w:val="00822882"/>
    <w:rsid w:val="00823625"/>
    <w:rsid w:val="00825383"/>
    <w:rsid w:val="008268AB"/>
    <w:rsid w:val="008308BF"/>
    <w:rsid w:val="00830ECC"/>
    <w:rsid w:val="008324D5"/>
    <w:rsid w:val="00832ACB"/>
    <w:rsid w:val="00832CDA"/>
    <w:rsid w:val="008336D7"/>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11B"/>
    <w:rsid w:val="00860B5B"/>
    <w:rsid w:val="00860B9E"/>
    <w:rsid w:val="00860C5A"/>
    <w:rsid w:val="0086499D"/>
    <w:rsid w:val="00864E86"/>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267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6A38"/>
    <w:rsid w:val="008C7CB8"/>
    <w:rsid w:val="008D0296"/>
    <w:rsid w:val="008D06BE"/>
    <w:rsid w:val="008D1D93"/>
    <w:rsid w:val="008D2658"/>
    <w:rsid w:val="008D3282"/>
    <w:rsid w:val="008D54BE"/>
    <w:rsid w:val="008D565D"/>
    <w:rsid w:val="008D5D3E"/>
    <w:rsid w:val="008D5D71"/>
    <w:rsid w:val="008D5F50"/>
    <w:rsid w:val="008D6A9B"/>
    <w:rsid w:val="008D7250"/>
    <w:rsid w:val="008E0327"/>
    <w:rsid w:val="008E224F"/>
    <w:rsid w:val="008E286D"/>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121BF"/>
    <w:rsid w:val="009123B7"/>
    <w:rsid w:val="00913084"/>
    <w:rsid w:val="009136D7"/>
    <w:rsid w:val="00914596"/>
    <w:rsid w:val="00916714"/>
    <w:rsid w:val="00917115"/>
    <w:rsid w:val="00920D0B"/>
    <w:rsid w:val="009214E5"/>
    <w:rsid w:val="00922878"/>
    <w:rsid w:val="00924271"/>
    <w:rsid w:val="009242D9"/>
    <w:rsid w:val="009248C3"/>
    <w:rsid w:val="009275F8"/>
    <w:rsid w:val="0093041B"/>
    <w:rsid w:val="009321FE"/>
    <w:rsid w:val="00934279"/>
    <w:rsid w:val="00942462"/>
    <w:rsid w:val="009428A3"/>
    <w:rsid w:val="00942EDF"/>
    <w:rsid w:val="009440B4"/>
    <w:rsid w:val="0094458E"/>
    <w:rsid w:val="00946640"/>
    <w:rsid w:val="00951B7F"/>
    <w:rsid w:val="009560B9"/>
    <w:rsid w:val="00956F14"/>
    <w:rsid w:val="009572CC"/>
    <w:rsid w:val="009600F6"/>
    <w:rsid w:val="00960EC7"/>
    <w:rsid w:val="00963B1B"/>
    <w:rsid w:val="00963BEA"/>
    <w:rsid w:val="00965E18"/>
    <w:rsid w:val="00966694"/>
    <w:rsid w:val="00966AAB"/>
    <w:rsid w:val="00966D1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87D20"/>
    <w:rsid w:val="0099164D"/>
    <w:rsid w:val="00991FF1"/>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45D5"/>
    <w:rsid w:val="009B51CF"/>
    <w:rsid w:val="009B5A0C"/>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728"/>
    <w:rsid w:val="009E2B08"/>
    <w:rsid w:val="009E4C9B"/>
    <w:rsid w:val="009E63A9"/>
    <w:rsid w:val="009E79F0"/>
    <w:rsid w:val="009F04AD"/>
    <w:rsid w:val="009F1969"/>
    <w:rsid w:val="009F287A"/>
    <w:rsid w:val="009F7A1B"/>
    <w:rsid w:val="00A00CCD"/>
    <w:rsid w:val="00A01046"/>
    <w:rsid w:val="00A018E2"/>
    <w:rsid w:val="00A01BF4"/>
    <w:rsid w:val="00A02064"/>
    <w:rsid w:val="00A02283"/>
    <w:rsid w:val="00A035F1"/>
    <w:rsid w:val="00A05243"/>
    <w:rsid w:val="00A055B8"/>
    <w:rsid w:val="00A056E3"/>
    <w:rsid w:val="00A06684"/>
    <w:rsid w:val="00A06A26"/>
    <w:rsid w:val="00A06F41"/>
    <w:rsid w:val="00A06F46"/>
    <w:rsid w:val="00A13C5F"/>
    <w:rsid w:val="00A201C8"/>
    <w:rsid w:val="00A22863"/>
    <w:rsid w:val="00A22B75"/>
    <w:rsid w:val="00A2351E"/>
    <w:rsid w:val="00A24347"/>
    <w:rsid w:val="00A25AFA"/>
    <w:rsid w:val="00A26CBA"/>
    <w:rsid w:val="00A26E3F"/>
    <w:rsid w:val="00A310DB"/>
    <w:rsid w:val="00A31594"/>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2260"/>
    <w:rsid w:val="00A8419E"/>
    <w:rsid w:val="00A8601C"/>
    <w:rsid w:val="00A86616"/>
    <w:rsid w:val="00A87090"/>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18E2"/>
    <w:rsid w:val="00B02F51"/>
    <w:rsid w:val="00B0311C"/>
    <w:rsid w:val="00B03296"/>
    <w:rsid w:val="00B03B65"/>
    <w:rsid w:val="00B05634"/>
    <w:rsid w:val="00B056AC"/>
    <w:rsid w:val="00B06010"/>
    <w:rsid w:val="00B0715C"/>
    <w:rsid w:val="00B0741F"/>
    <w:rsid w:val="00B07ECB"/>
    <w:rsid w:val="00B10CF5"/>
    <w:rsid w:val="00B11AE4"/>
    <w:rsid w:val="00B1229D"/>
    <w:rsid w:val="00B15735"/>
    <w:rsid w:val="00B166D6"/>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502C"/>
    <w:rsid w:val="00B45BF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030"/>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3532"/>
    <w:rsid w:val="00B86319"/>
    <w:rsid w:val="00B86D50"/>
    <w:rsid w:val="00B9162E"/>
    <w:rsid w:val="00B918C6"/>
    <w:rsid w:val="00B91B2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29C5"/>
    <w:rsid w:val="00BF4E96"/>
    <w:rsid w:val="00BF6A07"/>
    <w:rsid w:val="00C00CE0"/>
    <w:rsid w:val="00C01414"/>
    <w:rsid w:val="00C06703"/>
    <w:rsid w:val="00C07327"/>
    <w:rsid w:val="00C07CD8"/>
    <w:rsid w:val="00C1210B"/>
    <w:rsid w:val="00C12254"/>
    <w:rsid w:val="00C1252C"/>
    <w:rsid w:val="00C12769"/>
    <w:rsid w:val="00C13257"/>
    <w:rsid w:val="00C145E4"/>
    <w:rsid w:val="00C14692"/>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4E08"/>
    <w:rsid w:val="00C852EB"/>
    <w:rsid w:val="00C85531"/>
    <w:rsid w:val="00C8642A"/>
    <w:rsid w:val="00C8748C"/>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0383"/>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6E6F"/>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50D2"/>
    <w:rsid w:val="00DD615C"/>
    <w:rsid w:val="00DD6445"/>
    <w:rsid w:val="00DD6BC9"/>
    <w:rsid w:val="00DE0A2C"/>
    <w:rsid w:val="00DE10C1"/>
    <w:rsid w:val="00DE1678"/>
    <w:rsid w:val="00DE2CA9"/>
    <w:rsid w:val="00DE5A28"/>
    <w:rsid w:val="00DE66D3"/>
    <w:rsid w:val="00DE69D7"/>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5941"/>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475A1"/>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A32"/>
    <w:rsid w:val="00EE1D6D"/>
    <w:rsid w:val="00EE28CE"/>
    <w:rsid w:val="00EE2D82"/>
    <w:rsid w:val="00EE3035"/>
    <w:rsid w:val="00EE31D2"/>
    <w:rsid w:val="00EE35DB"/>
    <w:rsid w:val="00EE3BED"/>
    <w:rsid w:val="00EE3C33"/>
    <w:rsid w:val="00EE3CB8"/>
    <w:rsid w:val="00EE4F37"/>
    <w:rsid w:val="00EE5466"/>
    <w:rsid w:val="00EE617F"/>
    <w:rsid w:val="00EF28D6"/>
    <w:rsid w:val="00EF2D7E"/>
    <w:rsid w:val="00EF32D1"/>
    <w:rsid w:val="00EF3BEE"/>
    <w:rsid w:val="00EF4501"/>
    <w:rsid w:val="00EF51A6"/>
    <w:rsid w:val="00EF5231"/>
    <w:rsid w:val="00EF5E3E"/>
    <w:rsid w:val="00EF614F"/>
    <w:rsid w:val="00EF740E"/>
    <w:rsid w:val="00F037F5"/>
    <w:rsid w:val="00F04DCF"/>
    <w:rsid w:val="00F04F9A"/>
    <w:rsid w:val="00F06EA2"/>
    <w:rsid w:val="00F10C10"/>
    <w:rsid w:val="00F11555"/>
    <w:rsid w:val="00F149DA"/>
    <w:rsid w:val="00F14B50"/>
    <w:rsid w:val="00F158F4"/>
    <w:rsid w:val="00F16A94"/>
    <w:rsid w:val="00F1700F"/>
    <w:rsid w:val="00F174AB"/>
    <w:rsid w:val="00F2199B"/>
    <w:rsid w:val="00F23093"/>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0E62"/>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8CD"/>
    <w:rsid w:val="00FB3EBD"/>
    <w:rsid w:val="00FB615F"/>
    <w:rsid w:val="00FB76E9"/>
    <w:rsid w:val="00FB7ED7"/>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30F1"/>
    <w:rsid w:val="00FF4367"/>
    <w:rsid w:val="00FF4984"/>
    <w:rsid w:val="00FF4E6E"/>
    <w:rsid w:val="00FF5C99"/>
    <w:rsid w:val="00FF62C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771D0-6424-41D9-BE7C-E756531C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4745</Characters>
  <Application>Microsoft Office Word</Application>
  <DocSecurity>0</DocSecurity>
  <Lines>39</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Clasificador Natrix de TGW: potente, energéticamente eficiente y flexible</vt:lpstr>
      <vt:lpstr/>
    </vt:vector>
  </TitlesOfParts>
  <Company>Klug</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Clasificador Natrix de TGW: potente, energéticamente eficiente y flexible</dc:title>
  <dc:subject/>
  <dc:creator>Tahedl Alexander</dc:creator>
  <cp:keywords>Clasificador Natrix de TGW: potente, energéticamente eficiente y flexible</cp:keywords>
  <dc:description/>
  <cp:lastModifiedBy>Tahedl Alexander</cp:lastModifiedBy>
  <cp:revision>17</cp:revision>
  <cp:lastPrinted>2022-04-26T07:25:00Z</cp:lastPrinted>
  <dcterms:created xsi:type="dcterms:W3CDTF">2022-04-26T10:36:00Z</dcterms:created>
  <dcterms:modified xsi:type="dcterms:W3CDTF">2022-04-26T11:32:00Z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