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7DA" w:rsidRDefault="004A57DA" w:rsidP="00D545E8">
      <w:pPr>
        <w:ind w:right="1835"/>
        <w:jc w:val="both"/>
        <w:rPr>
          <w:rFonts w:cs="Arial"/>
          <w:b/>
          <w:sz w:val="28"/>
          <w:szCs w:val="28"/>
        </w:rPr>
      </w:pPr>
      <w:bookmarkStart w:id="0" w:name="_GoBack"/>
      <w:bookmarkEnd w:id="0"/>
    </w:p>
    <w:p w:rsidR="0032337B" w:rsidRDefault="0032337B" w:rsidP="00D545E8">
      <w:pPr>
        <w:ind w:right="1835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 übergibt Distributionszentrum an Mayoral</w:t>
      </w:r>
    </w:p>
    <w:p w:rsidR="0032337B" w:rsidRDefault="0032337B" w:rsidP="00D545E8">
      <w:pPr>
        <w:ind w:right="1835"/>
        <w:jc w:val="both"/>
        <w:rPr>
          <w:rFonts w:cs="Arial"/>
          <w:b/>
          <w:sz w:val="24"/>
          <w:szCs w:val="24"/>
        </w:rPr>
      </w:pPr>
    </w:p>
    <w:p w:rsidR="005A34E6" w:rsidRDefault="005A34E6" w:rsidP="005A34E6">
      <w:pPr>
        <w:pStyle w:val="Listenabsatz"/>
        <w:numPr>
          <w:ilvl w:val="0"/>
          <w:numId w:val="29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TGW-Taschensorter sorgt für höchste Flexibilität bei spanischem Kindermode-Spezialisten</w:t>
      </w:r>
    </w:p>
    <w:p w:rsidR="00FC72EA" w:rsidRDefault="008E027B" w:rsidP="00844F41">
      <w:pPr>
        <w:pStyle w:val="Listenabsatz"/>
        <w:numPr>
          <w:ilvl w:val="0"/>
          <w:numId w:val="29"/>
        </w:numPr>
        <w:ind w:right="1835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Reduzierte Total Cost of Ownership</w:t>
      </w:r>
    </w:p>
    <w:p w:rsidR="0032337B" w:rsidRPr="00FC72EA" w:rsidRDefault="00E15A90" w:rsidP="00844F41">
      <w:pPr>
        <w:pStyle w:val="Listenabsatz"/>
        <w:numPr>
          <w:ilvl w:val="0"/>
          <w:numId w:val="29"/>
        </w:numPr>
        <w:ind w:right="1835"/>
        <w:rPr>
          <w:rFonts w:cs="Arial"/>
          <w:b/>
          <w:sz w:val="24"/>
          <w:szCs w:val="24"/>
        </w:rPr>
      </w:pPr>
      <w:r w:rsidRPr="00FC72EA">
        <w:rPr>
          <w:rFonts w:cs="Arial"/>
          <w:b/>
          <w:sz w:val="24"/>
          <w:szCs w:val="24"/>
        </w:rPr>
        <w:t>Partnerschaftliche</w:t>
      </w:r>
      <w:r w:rsidR="005A34E6" w:rsidRPr="00FC72EA">
        <w:rPr>
          <w:rFonts w:cs="Arial"/>
          <w:b/>
          <w:sz w:val="24"/>
          <w:szCs w:val="24"/>
        </w:rPr>
        <w:t xml:space="preserve"> Z</w:t>
      </w:r>
      <w:r w:rsidR="00475ED0">
        <w:rPr>
          <w:rFonts w:cs="Arial"/>
          <w:b/>
          <w:sz w:val="24"/>
          <w:szCs w:val="24"/>
        </w:rPr>
        <w:t>usammenarbeit als Erfolgsfaktor</w:t>
      </w:r>
    </w:p>
    <w:p w:rsidR="0032337B" w:rsidRDefault="0032337B" w:rsidP="00D545E8">
      <w:pPr>
        <w:ind w:right="1835"/>
        <w:jc w:val="both"/>
        <w:rPr>
          <w:rFonts w:cs="Arial"/>
          <w:b/>
          <w:szCs w:val="20"/>
        </w:rPr>
      </w:pPr>
    </w:p>
    <w:p w:rsidR="0032337B" w:rsidRDefault="005A34E6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</w:t>
      </w:r>
      <w:r w:rsidR="008D5486">
        <w:rPr>
          <w:rFonts w:cs="Arial"/>
          <w:b/>
          <w:szCs w:val="20"/>
        </w:rPr>
        <w:t>18</w:t>
      </w:r>
      <w:r>
        <w:rPr>
          <w:rFonts w:cs="Arial"/>
          <w:b/>
          <w:szCs w:val="20"/>
        </w:rPr>
        <w:t xml:space="preserve">. Februar 2021) </w:t>
      </w:r>
      <w:r w:rsidR="0032337B">
        <w:rPr>
          <w:rFonts w:cs="Arial"/>
          <w:b/>
          <w:szCs w:val="20"/>
        </w:rPr>
        <w:t xml:space="preserve">Vor Kurzem konnte TGW </w:t>
      </w:r>
      <w:r w:rsidR="00342D08">
        <w:rPr>
          <w:rFonts w:cs="Arial"/>
          <w:b/>
          <w:szCs w:val="20"/>
        </w:rPr>
        <w:t>ein hochautomatis</w:t>
      </w:r>
      <w:r w:rsidR="00E15A90">
        <w:rPr>
          <w:rFonts w:cs="Arial"/>
          <w:b/>
          <w:szCs w:val="20"/>
        </w:rPr>
        <w:t>iertes Fulfillment Center an Mayoral</w:t>
      </w:r>
      <w:r w:rsidR="00342D08">
        <w:rPr>
          <w:rFonts w:cs="Arial"/>
          <w:b/>
          <w:szCs w:val="20"/>
        </w:rPr>
        <w:t xml:space="preserve"> übergeben</w:t>
      </w:r>
      <w:r w:rsidR="0070782D">
        <w:rPr>
          <w:rFonts w:cs="Arial"/>
          <w:b/>
          <w:szCs w:val="20"/>
        </w:rPr>
        <w:t xml:space="preserve"> </w:t>
      </w:r>
      <w:r w:rsidR="00024869">
        <w:rPr>
          <w:rFonts w:cs="Arial"/>
          <w:b/>
          <w:szCs w:val="20"/>
        </w:rPr>
        <w:t xml:space="preserve">und </w:t>
      </w:r>
      <w:r w:rsidR="00E15A90">
        <w:rPr>
          <w:rFonts w:cs="Arial"/>
          <w:b/>
          <w:szCs w:val="20"/>
        </w:rPr>
        <w:t>die</w:t>
      </w:r>
      <w:r w:rsidR="00F15C95">
        <w:rPr>
          <w:rFonts w:cs="Arial"/>
          <w:b/>
          <w:szCs w:val="20"/>
        </w:rPr>
        <w:t xml:space="preserve"> Realisierung</w:t>
      </w:r>
      <w:r w:rsidR="00F047D2">
        <w:rPr>
          <w:rFonts w:cs="Arial"/>
          <w:b/>
          <w:szCs w:val="20"/>
        </w:rPr>
        <w:t>sphase</w:t>
      </w:r>
      <w:r w:rsidR="00E15A90">
        <w:rPr>
          <w:rFonts w:cs="Arial"/>
          <w:b/>
          <w:szCs w:val="20"/>
        </w:rPr>
        <w:t xml:space="preserve"> erfolgreich abschließen</w:t>
      </w:r>
      <w:r w:rsidR="0032337B">
        <w:rPr>
          <w:rFonts w:cs="Arial"/>
          <w:b/>
          <w:szCs w:val="20"/>
        </w:rPr>
        <w:t xml:space="preserve">. </w:t>
      </w:r>
      <w:r w:rsidR="00F047D2">
        <w:rPr>
          <w:rFonts w:cs="Arial"/>
          <w:b/>
          <w:szCs w:val="20"/>
        </w:rPr>
        <w:t>Der</w:t>
      </w:r>
      <w:r w:rsidR="00E15A90">
        <w:rPr>
          <w:rFonts w:cs="Arial"/>
          <w:b/>
          <w:szCs w:val="20"/>
        </w:rPr>
        <w:t xml:space="preserve"> spanische Fashion-</w:t>
      </w:r>
      <w:r w:rsidR="00F047D2">
        <w:rPr>
          <w:rFonts w:cs="Arial"/>
          <w:b/>
          <w:szCs w:val="20"/>
        </w:rPr>
        <w:t>Spezialist</w:t>
      </w:r>
      <w:r w:rsidR="0032337B">
        <w:rPr>
          <w:rFonts w:cs="Arial"/>
          <w:b/>
          <w:szCs w:val="20"/>
        </w:rPr>
        <w:t xml:space="preserve"> wurde vor </w:t>
      </w:r>
      <w:r w:rsidR="00F15C95">
        <w:rPr>
          <w:rFonts w:cs="Arial"/>
          <w:b/>
          <w:szCs w:val="20"/>
        </w:rPr>
        <w:t xml:space="preserve">über </w:t>
      </w:r>
      <w:r w:rsidR="0032337B">
        <w:rPr>
          <w:rFonts w:cs="Arial"/>
          <w:b/>
          <w:szCs w:val="20"/>
        </w:rPr>
        <w:t xml:space="preserve">75 Jahren gegründet und ist </w:t>
      </w:r>
      <w:r w:rsidR="00F15C95">
        <w:rPr>
          <w:rFonts w:cs="Arial"/>
          <w:b/>
          <w:szCs w:val="20"/>
        </w:rPr>
        <w:t xml:space="preserve">heute </w:t>
      </w:r>
      <w:r w:rsidR="0032337B">
        <w:rPr>
          <w:rFonts w:cs="Arial"/>
          <w:b/>
          <w:szCs w:val="20"/>
        </w:rPr>
        <w:t xml:space="preserve">einer der führenden </w:t>
      </w:r>
      <w:r w:rsidR="00F047D2">
        <w:rPr>
          <w:rFonts w:cs="Arial"/>
          <w:b/>
          <w:szCs w:val="20"/>
        </w:rPr>
        <w:t xml:space="preserve">internationalen </w:t>
      </w:r>
      <w:r w:rsidR="00E15A90">
        <w:rPr>
          <w:rFonts w:cs="Arial"/>
          <w:b/>
          <w:szCs w:val="20"/>
        </w:rPr>
        <w:t>Hersteller von</w:t>
      </w:r>
      <w:r w:rsidR="0032337B">
        <w:rPr>
          <w:rFonts w:cs="Arial"/>
          <w:b/>
          <w:szCs w:val="20"/>
        </w:rPr>
        <w:t xml:space="preserve"> Kindermode. Das Unternehmen designt</w:t>
      </w:r>
      <w:r w:rsidR="00024869">
        <w:rPr>
          <w:rFonts w:cs="Arial"/>
          <w:b/>
          <w:szCs w:val="20"/>
        </w:rPr>
        <w:t xml:space="preserve"> jährlich</w:t>
      </w:r>
      <w:r w:rsidR="0032337B">
        <w:rPr>
          <w:rFonts w:cs="Arial"/>
          <w:b/>
          <w:szCs w:val="20"/>
        </w:rPr>
        <w:t xml:space="preserve"> </w:t>
      </w:r>
      <w:r w:rsidR="00E15A90">
        <w:rPr>
          <w:rFonts w:cs="Arial"/>
          <w:b/>
          <w:szCs w:val="20"/>
        </w:rPr>
        <w:t>rund</w:t>
      </w:r>
      <w:r w:rsidR="0032337B">
        <w:rPr>
          <w:rFonts w:cs="Arial"/>
          <w:b/>
          <w:szCs w:val="20"/>
        </w:rPr>
        <w:t xml:space="preserve"> 3.000 Kleidungsstücke und verkauft 30 Millionen </w:t>
      </w:r>
      <w:r w:rsidR="00E15A90">
        <w:rPr>
          <w:rFonts w:cs="Arial"/>
          <w:b/>
          <w:szCs w:val="20"/>
        </w:rPr>
        <w:t>Artikel</w:t>
      </w:r>
      <w:r w:rsidR="0032337B">
        <w:rPr>
          <w:rFonts w:cs="Arial"/>
          <w:b/>
          <w:szCs w:val="20"/>
        </w:rPr>
        <w:t xml:space="preserve"> an mehr als 10.000 Kunden. In der </w:t>
      </w:r>
      <w:r w:rsidR="003D5E91">
        <w:rPr>
          <w:rFonts w:cs="Arial"/>
          <w:b/>
          <w:szCs w:val="20"/>
        </w:rPr>
        <w:t>modernen</w:t>
      </w:r>
      <w:r w:rsidR="0032337B">
        <w:rPr>
          <w:rFonts w:cs="Arial"/>
          <w:b/>
          <w:szCs w:val="20"/>
        </w:rPr>
        <w:t xml:space="preserve"> Logistikdrehscheibe </w:t>
      </w:r>
      <w:r w:rsidR="002A1402">
        <w:rPr>
          <w:rFonts w:cs="Arial"/>
          <w:b/>
          <w:szCs w:val="20"/>
        </w:rPr>
        <w:t>im südspanischen</w:t>
      </w:r>
      <w:r w:rsidR="0001637D">
        <w:rPr>
          <w:rFonts w:cs="Arial"/>
          <w:b/>
          <w:szCs w:val="20"/>
        </w:rPr>
        <w:t xml:space="preserve"> Málaga </w:t>
      </w:r>
      <w:r w:rsidR="0032337B">
        <w:rPr>
          <w:rFonts w:cs="Arial"/>
          <w:b/>
          <w:szCs w:val="20"/>
        </w:rPr>
        <w:t xml:space="preserve">kommt </w:t>
      </w:r>
      <w:r w:rsidR="00342D08">
        <w:rPr>
          <w:rFonts w:cs="Arial"/>
          <w:b/>
          <w:szCs w:val="20"/>
        </w:rPr>
        <w:t>ein</w:t>
      </w:r>
      <w:r w:rsidR="0032337B">
        <w:rPr>
          <w:rFonts w:cs="Arial"/>
          <w:b/>
          <w:szCs w:val="20"/>
        </w:rPr>
        <w:t xml:space="preserve"> TGW-Taschensorter zum Einsatz.</w:t>
      </w:r>
    </w:p>
    <w:p w:rsidR="0032337B" w:rsidRDefault="0032337B" w:rsidP="00D545E8">
      <w:pPr>
        <w:ind w:right="1835"/>
        <w:jc w:val="both"/>
        <w:rPr>
          <w:rFonts w:cs="Arial"/>
          <w:b/>
          <w:szCs w:val="20"/>
        </w:rPr>
      </w:pPr>
    </w:p>
    <w:p w:rsidR="008A22A2" w:rsidRDefault="00E87D4A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Die </w:t>
      </w:r>
      <w:r w:rsidR="008A22A2">
        <w:rPr>
          <w:rFonts w:cs="Arial"/>
          <w:szCs w:val="20"/>
        </w:rPr>
        <w:t>Omnichannel-</w:t>
      </w:r>
      <w:r w:rsidR="0032337B" w:rsidRPr="0032337B">
        <w:rPr>
          <w:rFonts w:cs="Arial"/>
          <w:szCs w:val="20"/>
        </w:rPr>
        <w:t xml:space="preserve">Lösung </w:t>
      </w:r>
      <w:r w:rsidR="008A22A2">
        <w:rPr>
          <w:rFonts w:cs="Arial"/>
          <w:szCs w:val="20"/>
        </w:rPr>
        <w:t xml:space="preserve">basiert auf einem </w:t>
      </w:r>
      <w:r w:rsidR="009E5A11">
        <w:rPr>
          <w:rFonts w:cs="Arial"/>
          <w:szCs w:val="20"/>
        </w:rPr>
        <w:t xml:space="preserve">TGW </w:t>
      </w:r>
      <w:r w:rsidR="008A22A2">
        <w:rPr>
          <w:rFonts w:cs="Arial"/>
          <w:szCs w:val="20"/>
        </w:rPr>
        <w:t xml:space="preserve">Taschensorter-System mit einer Durchsatzleistung von 12.000 Einheiten pro Stunde. Der Taschensorter </w:t>
      </w:r>
      <w:r w:rsidR="00C05AC8">
        <w:rPr>
          <w:rFonts w:cs="Arial"/>
          <w:szCs w:val="20"/>
        </w:rPr>
        <w:t>dient</w:t>
      </w:r>
      <w:r w:rsidR="008A22A2">
        <w:rPr>
          <w:rFonts w:cs="Arial"/>
          <w:szCs w:val="20"/>
        </w:rPr>
        <w:t xml:space="preserve"> zur Konsolidierung </w:t>
      </w:r>
      <w:r w:rsidR="00C05AC8">
        <w:rPr>
          <w:rFonts w:cs="Arial"/>
          <w:szCs w:val="20"/>
        </w:rPr>
        <w:t>bzw.</w:t>
      </w:r>
      <w:r w:rsidR="008A22A2">
        <w:rPr>
          <w:rFonts w:cs="Arial"/>
          <w:szCs w:val="20"/>
        </w:rPr>
        <w:t xml:space="preserve"> Sortierung von Liege- </w:t>
      </w:r>
      <w:r w:rsidR="00DD4500">
        <w:rPr>
          <w:rFonts w:cs="Arial"/>
          <w:szCs w:val="20"/>
        </w:rPr>
        <w:t>sowie</w:t>
      </w:r>
      <w:r w:rsidR="008A22A2">
        <w:rPr>
          <w:rFonts w:cs="Arial"/>
          <w:szCs w:val="20"/>
        </w:rPr>
        <w:t xml:space="preserve"> Hängeware. Die Lösung umfasst darüber hinaus zwei Shuttlesysteme </w:t>
      </w:r>
      <w:r w:rsidR="00AD37FE">
        <w:rPr>
          <w:rFonts w:cs="Arial"/>
          <w:szCs w:val="20"/>
        </w:rPr>
        <w:t xml:space="preserve">– eines dient </w:t>
      </w:r>
      <w:r w:rsidR="00CD2425">
        <w:rPr>
          <w:rFonts w:cs="Arial"/>
          <w:szCs w:val="20"/>
        </w:rPr>
        <w:t>zur Lagerung, das zweite als Puffer vor dem Versand</w:t>
      </w:r>
      <w:r w:rsidR="008A22A2">
        <w:rPr>
          <w:rFonts w:cs="Arial"/>
          <w:szCs w:val="20"/>
        </w:rPr>
        <w:t>.</w:t>
      </w:r>
    </w:p>
    <w:p w:rsidR="00024869" w:rsidRDefault="00024869" w:rsidP="00D545E8">
      <w:pPr>
        <w:ind w:right="1835"/>
        <w:jc w:val="both"/>
        <w:rPr>
          <w:rFonts w:cs="Arial"/>
          <w:szCs w:val="20"/>
        </w:rPr>
      </w:pPr>
    </w:p>
    <w:p w:rsidR="00024869" w:rsidRPr="00024869" w:rsidRDefault="006C1162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Leistungsstarke Intralogistik als Wettbewerbsvorteil</w:t>
      </w:r>
    </w:p>
    <w:p w:rsidR="0032337B" w:rsidRDefault="0032337B" w:rsidP="00D545E8">
      <w:pPr>
        <w:ind w:right="1835"/>
        <w:jc w:val="both"/>
        <w:rPr>
          <w:rFonts w:cs="Arial"/>
          <w:szCs w:val="20"/>
        </w:rPr>
      </w:pPr>
    </w:p>
    <w:p w:rsidR="00B84C8E" w:rsidRDefault="00396451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Mayoral profitiert mit</w:t>
      </w:r>
      <w:r w:rsidR="0032337B">
        <w:rPr>
          <w:rFonts w:cs="Arial"/>
          <w:szCs w:val="20"/>
        </w:rPr>
        <w:t xml:space="preserve"> der 20.000 m² großen Anlage </w:t>
      </w:r>
      <w:r w:rsidR="003B501C">
        <w:rPr>
          <w:rFonts w:cs="Arial"/>
          <w:szCs w:val="20"/>
        </w:rPr>
        <w:t xml:space="preserve">von </w:t>
      </w:r>
      <w:r w:rsidR="00AE1364">
        <w:rPr>
          <w:rFonts w:cs="Arial"/>
          <w:szCs w:val="20"/>
        </w:rPr>
        <w:t>gesteigerter</w:t>
      </w:r>
      <w:r w:rsidR="003B501C">
        <w:rPr>
          <w:rFonts w:cs="Arial"/>
          <w:szCs w:val="20"/>
        </w:rPr>
        <w:t xml:space="preserve"> Flexibilität, </w:t>
      </w:r>
      <w:r w:rsidR="00024869">
        <w:rPr>
          <w:rFonts w:cs="Arial"/>
          <w:szCs w:val="20"/>
        </w:rPr>
        <w:t>ist</w:t>
      </w:r>
      <w:r w:rsidR="0032337B">
        <w:rPr>
          <w:rFonts w:cs="Arial"/>
          <w:szCs w:val="20"/>
        </w:rPr>
        <w:t xml:space="preserve"> optimal für die </w:t>
      </w:r>
      <w:r w:rsidR="00E10B0A">
        <w:rPr>
          <w:rFonts w:cs="Arial"/>
          <w:szCs w:val="20"/>
        </w:rPr>
        <w:t>Anforderungen</w:t>
      </w:r>
      <w:r w:rsidR="0032337B">
        <w:rPr>
          <w:rFonts w:cs="Arial"/>
          <w:szCs w:val="20"/>
        </w:rPr>
        <w:t xml:space="preserve"> des </w:t>
      </w:r>
      <w:r w:rsidR="00024869">
        <w:rPr>
          <w:rFonts w:cs="Arial"/>
          <w:szCs w:val="20"/>
        </w:rPr>
        <w:t>E-Commerce gerüstet</w:t>
      </w:r>
      <w:r w:rsidR="005E6886">
        <w:rPr>
          <w:rFonts w:cs="Arial"/>
          <w:szCs w:val="20"/>
        </w:rPr>
        <w:t>, kann seine Total Cost of Ownership reduzieren</w:t>
      </w:r>
      <w:r w:rsidR="0032337B">
        <w:rPr>
          <w:rFonts w:cs="Arial"/>
          <w:szCs w:val="20"/>
        </w:rPr>
        <w:t xml:space="preserve"> und </w:t>
      </w:r>
      <w:r w:rsidR="00024869">
        <w:rPr>
          <w:rFonts w:cs="Arial"/>
          <w:szCs w:val="20"/>
        </w:rPr>
        <w:t>l</w:t>
      </w:r>
      <w:r w:rsidR="003B501C">
        <w:rPr>
          <w:rFonts w:cs="Arial"/>
          <w:szCs w:val="20"/>
        </w:rPr>
        <w:t xml:space="preserve">egt </w:t>
      </w:r>
      <w:r w:rsidR="00B14214">
        <w:rPr>
          <w:rFonts w:cs="Arial"/>
          <w:szCs w:val="20"/>
        </w:rPr>
        <w:t xml:space="preserve">so </w:t>
      </w:r>
      <w:r w:rsidR="003B501C">
        <w:rPr>
          <w:rFonts w:cs="Arial"/>
          <w:szCs w:val="20"/>
        </w:rPr>
        <w:t>die Basis</w:t>
      </w:r>
      <w:r w:rsidR="00024869">
        <w:rPr>
          <w:rFonts w:cs="Arial"/>
          <w:szCs w:val="20"/>
        </w:rPr>
        <w:t xml:space="preserve"> für</w:t>
      </w:r>
      <w:r w:rsidR="006147B6">
        <w:rPr>
          <w:rFonts w:cs="Arial"/>
          <w:szCs w:val="20"/>
        </w:rPr>
        <w:t xml:space="preserve"> </w:t>
      </w:r>
      <w:r w:rsidR="00024869">
        <w:rPr>
          <w:rFonts w:cs="Arial"/>
          <w:szCs w:val="20"/>
        </w:rPr>
        <w:t>weitere</w:t>
      </w:r>
      <w:r w:rsidR="003B501C">
        <w:rPr>
          <w:rFonts w:cs="Arial"/>
          <w:szCs w:val="20"/>
        </w:rPr>
        <w:t>s</w:t>
      </w:r>
      <w:r w:rsidR="0032337B">
        <w:rPr>
          <w:rFonts w:cs="Arial"/>
          <w:szCs w:val="20"/>
        </w:rPr>
        <w:t xml:space="preserve"> </w:t>
      </w:r>
      <w:r w:rsidR="003B501C">
        <w:rPr>
          <w:rFonts w:cs="Arial"/>
          <w:szCs w:val="20"/>
        </w:rPr>
        <w:t>Wachstum</w:t>
      </w:r>
      <w:r w:rsidR="0032337B">
        <w:rPr>
          <w:rFonts w:cs="Arial"/>
          <w:szCs w:val="20"/>
        </w:rPr>
        <w:t>.</w:t>
      </w:r>
      <w:r w:rsidR="00F047D2">
        <w:rPr>
          <w:rFonts w:cs="Arial"/>
          <w:szCs w:val="20"/>
        </w:rPr>
        <w:t xml:space="preserve"> </w:t>
      </w:r>
    </w:p>
    <w:p w:rsidR="00B0093F" w:rsidRDefault="00B0093F" w:rsidP="00D545E8">
      <w:pPr>
        <w:ind w:right="1835"/>
        <w:jc w:val="both"/>
        <w:rPr>
          <w:rFonts w:cs="Arial"/>
          <w:szCs w:val="20"/>
        </w:rPr>
      </w:pPr>
    </w:p>
    <w:p w:rsidR="009F3E59" w:rsidRDefault="00DF2C2D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„</w:t>
      </w:r>
      <w:r w:rsidR="00667F12">
        <w:rPr>
          <w:rFonts w:cs="Arial"/>
          <w:szCs w:val="20"/>
        </w:rPr>
        <w:t>Mit dem neuen</w:t>
      </w:r>
      <w:r>
        <w:rPr>
          <w:rFonts w:cs="Arial"/>
          <w:szCs w:val="20"/>
        </w:rPr>
        <w:t xml:space="preserve"> Fulfillment Center </w:t>
      </w:r>
      <w:r w:rsidR="00435EA8">
        <w:rPr>
          <w:rFonts w:cs="Arial"/>
          <w:szCs w:val="20"/>
        </w:rPr>
        <w:t>können</w:t>
      </w:r>
      <w:r w:rsidR="00667F12">
        <w:rPr>
          <w:rFonts w:cs="Arial"/>
          <w:szCs w:val="20"/>
        </w:rPr>
        <w:t xml:space="preserve"> wir </w:t>
      </w:r>
      <w:r w:rsidR="00435EA8">
        <w:rPr>
          <w:rFonts w:cs="Arial"/>
          <w:szCs w:val="20"/>
        </w:rPr>
        <w:t>uns</w:t>
      </w:r>
      <w:r w:rsidR="00667F12">
        <w:rPr>
          <w:rFonts w:cs="Arial"/>
          <w:szCs w:val="20"/>
        </w:rPr>
        <w:t xml:space="preserve"> </w:t>
      </w:r>
      <w:r w:rsidR="00435EA8">
        <w:rPr>
          <w:rFonts w:cs="Arial"/>
          <w:szCs w:val="20"/>
        </w:rPr>
        <w:t>schnell und</w:t>
      </w:r>
      <w:r w:rsidR="00063CF6">
        <w:rPr>
          <w:rFonts w:cs="Arial"/>
          <w:szCs w:val="20"/>
        </w:rPr>
        <w:t xml:space="preserve"> </w:t>
      </w:r>
      <w:r w:rsidR="00435EA8">
        <w:rPr>
          <w:rFonts w:cs="Arial"/>
          <w:szCs w:val="20"/>
        </w:rPr>
        <w:t>flexibel an</w:t>
      </w:r>
      <w:r w:rsidR="009F3E59">
        <w:rPr>
          <w:rFonts w:cs="Arial"/>
          <w:szCs w:val="20"/>
        </w:rPr>
        <w:t xml:space="preserve"> </w:t>
      </w:r>
      <w:r w:rsidR="00667F12">
        <w:rPr>
          <w:rFonts w:cs="Arial"/>
          <w:szCs w:val="20"/>
        </w:rPr>
        <w:t>die sich verändernden Bedürfnisse des Marktes</w:t>
      </w:r>
      <w:r w:rsidR="00435EA8">
        <w:rPr>
          <w:rFonts w:cs="Arial"/>
          <w:szCs w:val="20"/>
        </w:rPr>
        <w:t xml:space="preserve"> anpassen</w:t>
      </w:r>
      <w:r w:rsidR="00667F12">
        <w:rPr>
          <w:rFonts w:cs="Arial"/>
          <w:szCs w:val="20"/>
        </w:rPr>
        <w:t xml:space="preserve"> und </w:t>
      </w:r>
      <w:r w:rsidR="009F3E59">
        <w:rPr>
          <w:rFonts w:cs="Arial"/>
          <w:szCs w:val="20"/>
        </w:rPr>
        <w:t>profitieren</w:t>
      </w:r>
      <w:r w:rsidR="00C25C13">
        <w:rPr>
          <w:rFonts w:cs="Arial"/>
          <w:szCs w:val="20"/>
        </w:rPr>
        <w:t xml:space="preserve"> </w:t>
      </w:r>
      <w:r w:rsidR="009F3E59">
        <w:rPr>
          <w:rFonts w:cs="Arial"/>
          <w:szCs w:val="20"/>
        </w:rPr>
        <w:t>von einem</w:t>
      </w:r>
      <w:r w:rsidR="00667F12">
        <w:rPr>
          <w:rFonts w:cs="Arial"/>
          <w:szCs w:val="20"/>
        </w:rPr>
        <w:t xml:space="preserve"> Wettbewerbsvorteil“, </w:t>
      </w:r>
      <w:r w:rsidR="008B0275">
        <w:rPr>
          <w:rFonts w:cs="Arial"/>
          <w:szCs w:val="20"/>
        </w:rPr>
        <w:t>unterstreicht</w:t>
      </w:r>
      <w:r w:rsidR="006147B6">
        <w:rPr>
          <w:rFonts w:cs="Arial"/>
          <w:szCs w:val="20"/>
        </w:rPr>
        <w:t xml:space="preserve"> Salvador García De-Lucchi, T</w:t>
      </w:r>
      <w:r w:rsidR="00667F12">
        <w:rPr>
          <w:rFonts w:cs="Arial"/>
          <w:szCs w:val="20"/>
        </w:rPr>
        <w:t xml:space="preserve">echnischer Direktor bei Mayoral. Die </w:t>
      </w:r>
      <w:r w:rsidR="00C275AD">
        <w:rPr>
          <w:rFonts w:cs="Arial"/>
          <w:szCs w:val="20"/>
        </w:rPr>
        <w:t>abgeschlossene</w:t>
      </w:r>
      <w:r w:rsidR="00667F12">
        <w:rPr>
          <w:rFonts w:cs="Arial"/>
          <w:szCs w:val="20"/>
        </w:rPr>
        <w:t xml:space="preserve"> Realisierung </w:t>
      </w:r>
      <w:r w:rsidR="00063CF6">
        <w:rPr>
          <w:rFonts w:cs="Arial"/>
          <w:szCs w:val="20"/>
        </w:rPr>
        <w:t>bildet den</w:t>
      </w:r>
      <w:r w:rsidR="00667F12">
        <w:rPr>
          <w:rFonts w:cs="Arial"/>
          <w:szCs w:val="20"/>
        </w:rPr>
        <w:t xml:space="preserve"> Startpunkt für eine zweite </w:t>
      </w:r>
      <w:r w:rsidR="009F3E59">
        <w:rPr>
          <w:rFonts w:cs="Arial"/>
          <w:szCs w:val="20"/>
        </w:rPr>
        <w:t>Projektphase</w:t>
      </w:r>
      <w:r w:rsidR="009218ED">
        <w:rPr>
          <w:rFonts w:cs="Arial"/>
          <w:szCs w:val="20"/>
        </w:rPr>
        <w:t>. Mit ihr soll</w:t>
      </w:r>
      <w:r w:rsidR="00630ADD">
        <w:rPr>
          <w:rFonts w:cs="Arial"/>
          <w:szCs w:val="20"/>
        </w:rPr>
        <w:t>en</w:t>
      </w:r>
      <w:r w:rsidR="00667F12">
        <w:rPr>
          <w:rFonts w:cs="Arial"/>
          <w:szCs w:val="20"/>
        </w:rPr>
        <w:t xml:space="preserve"> die Lagerkapazität </w:t>
      </w:r>
      <w:r w:rsidR="00630ADD">
        <w:rPr>
          <w:rFonts w:cs="Arial"/>
          <w:szCs w:val="20"/>
        </w:rPr>
        <w:t>und</w:t>
      </w:r>
      <w:r w:rsidR="00667F12">
        <w:rPr>
          <w:rFonts w:cs="Arial"/>
          <w:szCs w:val="20"/>
        </w:rPr>
        <w:t xml:space="preserve"> die Zahl der </w:t>
      </w:r>
      <w:r w:rsidR="005B7BF0">
        <w:rPr>
          <w:rFonts w:cs="Arial"/>
          <w:szCs w:val="20"/>
        </w:rPr>
        <w:t>Pack</w:t>
      </w:r>
      <w:r w:rsidR="00667F12">
        <w:rPr>
          <w:rFonts w:cs="Arial"/>
          <w:szCs w:val="20"/>
        </w:rPr>
        <w:t xml:space="preserve">-Arbeitsplätze </w:t>
      </w:r>
      <w:r w:rsidR="008D7888">
        <w:rPr>
          <w:rFonts w:cs="Arial"/>
          <w:szCs w:val="20"/>
        </w:rPr>
        <w:t>ausgebaut</w:t>
      </w:r>
      <w:r w:rsidR="00667F12">
        <w:rPr>
          <w:rFonts w:cs="Arial"/>
          <w:szCs w:val="20"/>
        </w:rPr>
        <w:t xml:space="preserve"> werden</w:t>
      </w:r>
      <w:r w:rsidR="009218ED">
        <w:rPr>
          <w:rFonts w:cs="Arial"/>
          <w:szCs w:val="20"/>
        </w:rPr>
        <w:t>,</w:t>
      </w:r>
      <w:r w:rsidR="00667F12">
        <w:rPr>
          <w:rFonts w:cs="Arial"/>
          <w:szCs w:val="20"/>
        </w:rPr>
        <w:t xml:space="preserve"> </w:t>
      </w:r>
      <w:r w:rsidR="009218ED">
        <w:rPr>
          <w:rFonts w:cs="Arial"/>
          <w:szCs w:val="20"/>
        </w:rPr>
        <w:t xml:space="preserve">um </w:t>
      </w:r>
      <w:r w:rsidR="00180890">
        <w:rPr>
          <w:rFonts w:cs="Arial"/>
          <w:szCs w:val="20"/>
        </w:rPr>
        <w:t xml:space="preserve">die </w:t>
      </w:r>
      <w:r w:rsidR="00063CF6">
        <w:rPr>
          <w:rFonts w:cs="Arial"/>
          <w:szCs w:val="20"/>
        </w:rPr>
        <w:t xml:space="preserve">exponentielle Wachstumsrate </w:t>
      </w:r>
      <w:r w:rsidR="00A35515">
        <w:rPr>
          <w:rFonts w:cs="Arial"/>
          <w:szCs w:val="20"/>
        </w:rPr>
        <w:t xml:space="preserve">im </w:t>
      </w:r>
      <w:r w:rsidR="00063CF6">
        <w:rPr>
          <w:rFonts w:cs="Arial"/>
          <w:szCs w:val="20"/>
        </w:rPr>
        <w:t>Online-</w:t>
      </w:r>
      <w:r w:rsidR="00A35515">
        <w:rPr>
          <w:rFonts w:cs="Arial"/>
          <w:szCs w:val="20"/>
        </w:rPr>
        <w:t>Fashion-</w:t>
      </w:r>
      <w:r w:rsidR="00667F12">
        <w:rPr>
          <w:rFonts w:cs="Arial"/>
          <w:szCs w:val="20"/>
        </w:rPr>
        <w:t xml:space="preserve">Bereich </w:t>
      </w:r>
      <w:r w:rsidR="00CF5526">
        <w:rPr>
          <w:rFonts w:cs="Arial"/>
          <w:szCs w:val="20"/>
        </w:rPr>
        <w:t xml:space="preserve">abdecken </w:t>
      </w:r>
      <w:r w:rsidR="009218ED">
        <w:rPr>
          <w:rFonts w:cs="Arial"/>
          <w:szCs w:val="20"/>
        </w:rPr>
        <w:t xml:space="preserve">zu </w:t>
      </w:r>
      <w:r w:rsidR="00CF5526">
        <w:rPr>
          <w:rFonts w:cs="Arial"/>
          <w:szCs w:val="20"/>
        </w:rPr>
        <w:t>können</w:t>
      </w:r>
      <w:r w:rsidR="00180890">
        <w:rPr>
          <w:rFonts w:cs="Arial"/>
          <w:szCs w:val="20"/>
        </w:rPr>
        <w:t>.</w:t>
      </w:r>
    </w:p>
    <w:p w:rsidR="009F3E59" w:rsidRPr="009F3E59" w:rsidRDefault="00E13667" w:rsidP="00D545E8">
      <w:pPr>
        <w:ind w:right="1835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lastRenderedPageBreak/>
        <w:t>Partnerschaftliche</w:t>
      </w:r>
      <w:r w:rsidR="009F3E59" w:rsidRPr="009F3E59">
        <w:rPr>
          <w:rFonts w:cs="Arial"/>
          <w:b/>
          <w:szCs w:val="20"/>
        </w:rPr>
        <w:t xml:space="preserve"> Zusammenarbeit</w:t>
      </w: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Der Erfolg </w:t>
      </w:r>
      <w:r w:rsidR="009F3E59">
        <w:rPr>
          <w:rFonts w:cs="Arial"/>
          <w:szCs w:val="20"/>
        </w:rPr>
        <w:t xml:space="preserve">des Projekts </w:t>
      </w:r>
      <w:r>
        <w:rPr>
          <w:rFonts w:cs="Arial"/>
          <w:szCs w:val="20"/>
        </w:rPr>
        <w:t xml:space="preserve">ist Resultat </w:t>
      </w:r>
      <w:r w:rsidR="009218ED">
        <w:rPr>
          <w:rFonts w:cs="Arial"/>
          <w:szCs w:val="20"/>
        </w:rPr>
        <w:t>der</w:t>
      </w:r>
      <w:r>
        <w:rPr>
          <w:rFonts w:cs="Arial"/>
          <w:szCs w:val="20"/>
        </w:rPr>
        <w:t xml:space="preserve"> engen</w:t>
      </w:r>
      <w:r w:rsidR="0018089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Zusammenarbeit </w:t>
      </w:r>
      <w:r w:rsidR="005361DC">
        <w:rPr>
          <w:rFonts w:cs="Arial"/>
          <w:szCs w:val="20"/>
        </w:rPr>
        <w:t>von Mayoral und TGW</w:t>
      </w:r>
      <w:r>
        <w:rPr>
          <w:rFonts w:cs="Arial"/>
          <w:szCs w:val="20"/>
        </w:rPr>
        <w:t xml:space="preserve">. </w:t>
      </w:r>
      <w:r w:rsidR="00C34520">
        <w:rPr>
          <w:rFonts w:cs="Arial"/>
          <w:szCs w:val="20"/>
        </w:rPr>
        <w:t>Mit der</w:t>
      </w:r>
      <w:r>
        <w:rPr>
          <w:rFonts w:cs="Arial"/>
          <w:szCs w:val="20"/>
        </w:rPr>
        <w:t xml:space="preserve"> </w:t>
      </w:r>
      <w:r w:rsidR="004C136C">
        <w:rPr>
          <w:rFonts w:cs="Arial"/>
          <w:szCs w:val="20"/>
        </w:rPr>
        <w:t>Omnichannel-</w:t>
      </w:r>
      <w:r w:rsidR="00617FCF">
        <w:rPr>
          <w:rFonts w:cs="Arial"/>
          <w:szCs w:val="20"/>
        </w:rPr>
        <w:t>Anlage</w:t>
      </w:r>
      <w:r w:rsidR="004C136C">
        <w:rPr>
          <w:rFonts w:cs="Arial"/>
          <w:szCs w:val="20"/>
        </w:rPr>
        <w:t xml:space="preserve"> </w:t>
      </w:r>
      <w:r w:rsidR="00C34520">
        <w:rPr>
          <w:rFonts w:cs="Arial"/>
          <w:szCs w:val="20"/>
        </w:rPr>
        <w:t>und ihrer</w:t>
      </w:r>
      <w:r w:rsidR="009218ED">
        <w:rPr>
          <w:rFonts w:cs="Arial"/>
          <w:szCs w:val="20"/>
        </w:rPr>
        <w:t xml:space="preserve"> hohen</w:t>
      </w:r>
      <w:r w:rsidR="005A2BD9">
        <w:rPr>
          <w:rFonts w:cs="Arial"/>
          <w:szCs w:val="20"/>
        </w:rPr>
        <w:t xml:space="preserve"> Durchsatz</w:t>
      </w:r>
      <w:r w:rsidR="00C34520">
        <w:rPr>
          <w:rFonts w:cs="Arial"/>
          <w:szCs w:val="20"/>
        </w:rPr>
        <w:t>leistung</w:t>
      </w:r>
      <w:r>
        <w:rPr>
          <w:rFonts w:cs="Arial"/>
          <w:szCs w:val="20"/>
        </w:rPr>
        <w:t xml:space="preserve"> </w:t>
      </w:r>
      <w:r w:rsidR="00016390">
        <w:rPr>
          <w:rFonts w:cs="Arial"/>
          <w:szCs w:val="20"/>
        </w:rPr>
        <w:t>ist</w:t>
      </w:r>
      <w:r w:rsidR="00C34520">
        <w:rPr>
          <w:rFonts w:cs="Arial"/>
          <w:szCs w:val="20"/>
        </w:rPr>
        <w:t xml:space="preserve"> der</w:t>
      </w:r>
      <w:r w:rsidR="00B71471">
        <w:rPr>
          <w:rFonts w:cs="Arial"/>
          <w:szCs w:val="20"/>
        </w:rPr>
        <w:t xml:space="preserve"> Kinde</w:t>
      </w:r>
      <w:r w:rsidR="003F32AB">
        <w:rPr>
          <w:rFonts w:cs="Arial"/>
          <w:szCs w:val="20"/>
        </w:rPr>
        <w:t>r</w:t>
      </w:r>
      <w:r w:rsidR="00C34520">
        <w:rPr>
          <w:rFonts w:cs="Arial"/>
          <w:szCs w:val="20"/>
        </w:rPr>
        <w:t>mode-Spezialist</w:t>
      </w:r>
      <w:r w:rsidR="005A2BD9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auf die aktuellen </w:t>
      </w:r>
      <w:r w:rsidR="005A2BD9">
        <w:rPr>
          <w:rFonts w:cs="Arial"/>
          <w:szCs w:val="20"/>
        </w:rPr>
        <w:t>ebenso wie</w:t>
      </w:r>
      <w:r w:rsidR="001D3A01">
        <w:rPr>
          <w:rFonts w:cs="Arial"/>
          <w:szCs w:val="20"/>
        </w:rPr>
        <w:t xml:space="preserve"> auf</w:t>
      </w:r>
      <w:r w:rsidR="005A2BD9">
        <w:rPr>
          <w:rFonts w:cs="Arial"/>
          <w:szCs w:val="20"/>
        </w:rPr>
        <w:t xml:space="preserve"> die</w:t>
      </w:r>
      <w:r>
        <w:rPr>
          <w:rFonts w:cs="Arial"/>
          <w:szCs w:val="20"/>
        </w:rPr>
        <w:t xml:space="preserve"> zukünftigen Bedürfnisse </w:t>
      </w:r>
      <w:r w:rsidR="009218ED">
        <w:rPr>
          <w:rFonts w:cs="Arial"/>
          <w:szCs w:val="20"/>
        </w:rPr>
        <w:t xml:space="preserve">des </w:t>
      </w:r>
      <w:r w:rsidR="00043ED2">
        <w:rPr>
          <w:rFonts w:cs="Arial"/>
          <w:szCs w:val="20"/>
        </w:rPr>
        <w:t>Fashion-</w:t>
      </w:r>
      <w:r w:rsidR="009218ED">
        <w:rPr>
          <w:rFonts w:cs="Arial"/>
          <w:szCs w:val="20"/>
        </w:rPr>
        <w:t xml:space="preserve">Marktes </w:t>
      </w:r>
      <w:r w:rsidR="00016390">
        <w:rPr>
          <w:rFonts w:cs="Arial"/>
          <w:szCs w:val="20"/>
        </w:rPr>
        <w:t>vorbereitet</w:t>
      </w:r>
      <w:r w:rsidR="005A2BD9">
        <w:rPr>
          <w:rFonts w:cs="Arial"/>
          <w:szCs w:val="20"/>
        </w:rPr>
        <w:t>.</w:t>
      </w: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>„Die</w:t>
      </w:r>
      <w:r w:rsidR="005A2BD9">
        <w:rPr>
          <w:rFonts w:cs="Arial"/>
          <w:szCs w:val="20"/>
        </w:rPr>
        <w:t xml:space="preserve"> von</w:t>
      </w:r>
      <w:r>
        <w:rPr>
          <w:rFonts w:cs="Arial"/>
          <w:szCs w:val="20"/>
        </w:rPr>
        <w:t xml:space="preserve"> </w:t>
      </w:r>
      <w:r w:rsidR="005A2BD9">
        <w:rPr>
          <w:rFonts w:cs="Arial"/>
          <w:szCs w:val="20"/>
        </w:rPr>
        <w:t xml:space="preserve">TGW entwickelte </w:t>
      </w:r>
      <w:r w:rsidR="004C767E">
        <w:rPr>
          <w:rFonts w:cs="Arial"/>
          <w:szCs w:val="20"/>
        </w:rPr>
        <w:t>Omnichannel-</w:t>
      </w:r>
      <w:r>
        <w:rPr>
          <w:rFonts w:cs="Arial"/>
          <w:szCs w:val="20"/>
        </w:rPr>
        <w:t xml:space="preserve">Lösung unterstützt </w:t>
      </w:r>
      <w:r w:rsidR="00CF2DBE">
        <w:rPr>
          <w:rFonts w:cs="Arial"/>
          <w:szCs w:val="20"/>
        </w:rPr>
        <w:t>Mayoral</w:t>
      </w:r>
      <w:r>
        <w:rPr>
          <w:rFonts w:cs="Arial"/>
          <w:szCs w:val="20"/>
        </w:rPr>
        <w:t xml:space="preserve"> </w:t>
      </w:r>
      <w:r w:rsidR="00534A4D">
        <w:rPr>
          <w:rFonts w:cs="Arial"/>
          <w:szCs w:val="20"/>
        </w:rPr>
        <w:t>bei</w:t>
      </w:r>
      <w:r w:rsidR="00C34574">
        <w:rPr>
          <w:rFonts w:cs="Arial"/>
          <w:szCs w:val="20"/>
        </w:rPr>
        <w:t xml:space="preserve">m </w:t>
      </w:r>
      <w:r w:rsidR="00A56274">
        <w:rPr>
          <w:rFonts w:cs="Arial"/>
          <w:szCs w:val="20"/>
        </w:rPr>
        <w:t xml:space="preserve">Wandel </w:t>
      </w:r>
      <w:r w:rsidR="00AE0514">
        <w:rPr>
          <w:rFonts w:cs="Arial"/>
          <w:szCs w:val="20"/>
        </w:rPr>
        <w:t>seiner</w:t>
      </w:r>
      <w:r>
        <w:rPr>
          <w:rFonts w:cs="Arial"/>
          <w:szCs w:val="20"/>
        </w:rPr>
        <w:t xml:space="preserve"> Supply Chain. </w:t>
      </w:r>
      <w:r w:rsidR="00A56274">
        <w:rPr>
          <w:rFonts w:cs="Arial"/>
          <w:szCs w:val="20"/>
        </w:rPr>
        <w:t>Der Kunde</w:t>
      </w:r>
      <w:r>
        <w:rPr>
          <w:rFonts w:cs="Arial"/>
          <w:szCs w:val="20"/>
        </w:rPr>
        <w:t xml:space="preserve"> schätzt die Möglichkeit, Liege- und Hängeware vollautomatisch </w:t>
      </w:r>
      <w:r w:rsidR="00AE0514">
        <w:rPr>
          <w:rFonts w:cs="Arial"/>
          <w:szCs w:val="20"/>
        </w:rPr>
        <w:t xml:space="preserve">parallel </w:t>
      </w:r>
      <w:r>
        <w:rPr>
          <w:rFonts w:cs="Arial"/>
          <w:szCs w:val="20"/>
        </w:rPr>
        <w:t xml:space="preserve">zu </w:t>
      </w:r>
      <w:r w:rsidR="003475E7">
        <w:rPr>
          <w:rFonts w:cs="Arial"/>
          <w:szCs w:val="20"/>
        </w:rPr>
        <w:t>transportieren</w:t>
      </w:r>
      <w:r w:rsidR="00CF2DBE">
        <w:rPr>
          <w:rFonts w:cs="Arial"/>
          <w:szCs w:val="20"/>
        </w:rPr>
        <w:t xml:space="preserve"> </w:t>
      </w:r>
      <w:r w:rsidR="001413CA">
        <w:rPr>
          <w:rFonts w:cs="Arial"/>
          <w:szCs w:val="20"/>
        </w:rPr>
        <w:t>und die Anlage gleichzeitig als Lager- oder Puffersystem ein</w:t>
      </w:r>
      <w:r w:rsidR="00CF2DBE">
        <w:rPr>
          <w:rFonts w:cs="Arial"/>
          <w:szCs w:val="20"/>
        </w:rPr>
        <w:t>zu</w:t>
      </w:r>
      <w:r w:rsidR="001413CA">
        <w:rPr>
          <w:rFonts w:cs="Arial"/>
          <w:szCs w:val="20"/>
        </w:rPr>
        <w:t>setzen</w:t>
      </w:r>
      <w:r>
        <w:rPr>
          <w:rFonts w:cs="Arial"/>
          <w:szCs w:val="20"/>
        </w:rPr>
        <w:t xml:space="preserve">. </w:t>
      </w:r>
      <w:r w:rsidR="005A2BD9">
        <w:rPr>
          <w:rFonts w:cs="Arial"/>
          <w:szCs w:val="20"/>
        </w:rPr>
        <w:t>Damit</w:t>
      </w:r>
      <w:r>
        <w:rPr>
          <w:rFonts w:cs="Arial"/>
          <w:szCs w:val="20"/>
        </w:rPr>
        <w:t xml:space="preserve"> ist Mayoral </w:t>
      </w:r>
      <w:r w:rsidR="006A6047">
        <w:rPr>
          <w:rFonts w:cs="Arial"/>
          <w:szCs w:val="20"/>
        </w:rPr>
        <w:t>für die Zukunft gerüstet</w:t>
      </w:r>
      <w:r>
        <w:rPr>
          <w:rFonts w:cs="Arial"/>
          <w:szCs w:val="20"/>
        </w:rPr>
        <w:t xml:space="preserve"> und </w:t>
      </w:r>
      <w:r w:rsidR="003D5E91">
        <w:rPr>
          <w:rFonts w:cs="Arial"/>
          <w:szCs w:val="20"/>
        </w:rPr>
        <w:t>setzt</w:t>
      </w:r>
      <w:r>
        <w:rPr>
          <w:rFonts w:cs="Arial"/>
          <w:szCs w:val="20"/>
        </w:rPr>
        <w:t xml:space="preserve"> </w:t>
      </w:r>
      <w:r w:rsidR="004F0DF2">
        <w:rPr>
          <w:rFonts w:cs="Arial"/>
          <w:szCs w:val="20"/>
        </w:rPr>
        <w:t xml:space="preserve">auch bei weiteren </w:t>
      </w:r>
      <w:r w:rsidR="0070782D">
        <w:rPr>
          <w:rFonts w:cs="Arial"/>
          <w:szCs w:val="20"/>
        </w:rPr>
        <w:t>Automatisierungs-</w:t>
      </w:r>
      <w:r w:rsidR="00136C84">
        <w:rPr>
          <w:rFonts w:cs="Arial"/>
          <w:szCs w:val="20"/>
        </w:rPr>
        <w:t>Schritten</w:t>
      </w:r>
      <w:r w:rsidR="004F0DF2">
        <w:rPr>
          <w:rFonts w:cs="Arial"/>
          <w:szCs w:val="20"/>
        </w:rPr>
        <w:t xml:space="preserve"> </w:t>
      </w:r>
      <w:r w:rsidR="00E65DB6">
        <w:rPr>
          <w:rFonts w:cs="Arial"/>
          <w:szCs w:val="20"/>
        </w:rPr>
        <w:t>auf</w:t>
      </w:r>
      <w:r w:rsidR="00F30397">
        <w:rPr>
          <w:rFonts w:cs="Arial"/>
          <w:szCs w:val="20"/>
        </w:rPr>
        <w:t xml:space="preserve"> </w:t>
      </w:r>
      <w:r w:rsidR="009218ED">
        <w:rPr>
          <w:rFonts w:cs="Arial"/>
          <w:szCs w:val="20"/>
        </w:rPr>
        <w:t xml:space="preserve">das Know-how </w:t>
      </w:r>
      <w:r>
        <w:rPr>
          <w:rFonts w:cs="Arial"/>
          <w:szCs w:val="20"/>
        </w:rPr>
        <w:t xml:space="preserve">von TGW“, </w:t>
      </w:r>
      <w:r w:rsidR="00C34574">
        <w:rPr>
          <w:rFonts w:cs="Arial"/>
          <w:szCs w:val="20"/>
        </w:rPr>
        <w:t>betont</w:t>
      </w:r>
      <w:r>
        <w:rPr>
          <w:rFonts w:cs="Arial"/>
          <w:szCs w:val="20"/>
        </w:rPr>
        <w:t xml:space="preserve"> David Bendien, CEO TGW South Europe.</w:t>
      </w:r>
    </w:p>
    <w:p w:rsidR="00667F12" w:rsidRDefault="00667F12" w:rsidP="00D545E8">
      <w:pPr>
        <w:ind w:right="1835"/>
        <w:jc w:val="both"/>
        <w:rPr>
          <w:rFonts w:cs="Arial"/>
          <w:szCs w:val="20"/>
        </w:rPr>
      </w:pPr>
    </w:p>
    <w:p w:rsidR="004E35B9" w:rsidRPr="005F2191" w:rsidRDefault="00E65DB6" w:rsidP="00D545E8">
      <w:pPr>
        <w:ind w:right="1835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Mit der </w:t>
      </w:r>
      <w:r w:rsidR="0067137C">
        <w:rPr>
          <w:rFonts w:cs="Arial"/>
          <w:szCs w:val="20"/>
        </w:rPr>
        <w:t xml:space="preserve">innovativen </w:t>
      </w:r>
      <w:r w:rsidR="00667F12">
        <w:rPr>
          <w:rFonts w:cs="Arial"/>
          <w:szCs w:val="20"/>
        </w:rPr>
        <w:t>Taschensorter</w:t>
      </w:r>
      <w:r>
        <w:rPr>
          <w:rFonts w:cs="Arial"/>
          <w:szCs w:val="20"/>
        </w:rPr>
        <w:t>-Lösung</w:t>
      </w:r>
      <w:r w:rsidR="00667F12">
        <w:rPr>
          <w:rFonts w:cs="Arial"/>
          <w:szCs w:val="20"/>
        </w:rPr>
        <w:t xml:space="preserve"> </w:t>
      </w:r>
      <w:r w:rsidR="00617FCF">
        <w:rPr>
          <w:rFonts w:cs="Arial"/>
          <w:szCs w:val="20"/>
        </w:rPr>
        <w:t>unterstreicht TGW</w:t>
      </w:r>
      <w:r w:rsidR="002E77EF">
        <w:rPr>
          <w:rFonts w:cs="Arial"/>
          <w:szCs w:val="20"/>
        </w:rPr>
        <w:t xml:space="preserve"> </w:t>
      </w:r>
      <w:r w:rsidR="00667F12">
        <w:rPr>
          <w:rFonts w:cs="Arial"/>
          <w:szCs w:val="20"/>
        </w:rPr>
        <w:t xml:space="preserve">seine </w:t>
      </w:r>
      <w:r w:rsidR="002C4AD7">
        <w:rPr>
          <w:rFonts w:cs="Arial"/>
          <w:szCs w:val="20"/>
        </w:rPr>
        <w:t>Kompetenz</w:t>
      </w:r>
      <w:r w:rsidR="00667F12">
        <w:rPr>
          <w:rFonts w:cs="Arial"/>
          <w:szCs w:val="20"/>
        </w:rPr>
        <w:t xml:space="preserve"> im Fashion-Bereich</w:t>
      </w:r>
      <w:r>
        <w:rPr>
          <w:rFonts w:cs="Arial"/>
          <w:szCs w:val="20"/>
        </w:rPr>
        <w:t xml:space="preserve">. </w:t>
      </w:r>
      <w:r w:rsidR="0010030C">
        <w:rPr>
          <w:rFonts w:cs="Arial"/>
          <w:szCs w:val="20"/>
        </w:rPr>
        <w:t>Dank</w:t>
      </w:r>
      <w:r w:rsidR="00F047D2">
        <w:rPr>
          <w:rFonts w:cs="Arial"/>
          <w:szCs w:val="20"/>
        </w:rPr>
        <w:t xml:space="preserve"> OmniPick</w:t>
      </w:r>
      <w:r w:rsidR="00F047D2" w:rsidRPr="00F047D2">
        <w:rPr>
          <w:rFonts w:cs="Arial"/>
          <w:szCs w:val="20"/>
          <w:vertAlign w:val="superscript"/>
        </w:rPr>
        <w:t>®</w:t>
      </w:r>
      <w:r w:rsidR="00F047D2" w:rsidRPr="00F047D2">
        <w:rPr>
          <w:rFonts w:cs="Arial"/>
          <w:szCs w:val="20"/>
        </w:rPr>
        <w:t xml:space="preserve"> </w:t>
      </w:r>
      <w:r w:rsidR="00F047D2">
        <w:rPr>
          <w:rFonts w:cs="Arial"/>
          <w:szCs w:val="20"/>
        </w:rPr>
        <w:t>ist TGW</w:t>
      </w:r>
      <w:r w:rsidR="00617FCF">
        <w:rPr>
          <w:rFonts w:cs="Arial"/>
          <w:szCs w:val="20"/>
        </w:rPr>
        <w:t xml:space="preserve"> </w:t>
      </w:r>
      <w:r w:rsidR="00F047D2">
        <w:rPr>
          <w:rFonts w:cs="Arial"/>
          <w:szCs w:val="20"/>
        </w:rPr>
        <w:t>optimal aufgestellt</w:t>
      </w:r>
      <w:r w:rsidR="00F047D2" w:rsidRPr="00F047D2">
        <w:rPr>
          <w:rFonts w:cs="Arial"/>
          <w:szCs w:val="20"/>
        </w:rPr>
        <w:t>,</w:t>
      </w:r>
      <w:r w:rsidR="00F047D2">
        <w:rPr>
          <w:rFonts w:cs="Arial"/>
          <w:szCs w:val="20"/>
        </w:rPr>
        <w:t xml:space="preserve"> um</w:t>
      </w:r>
      <w:r w:rsidR="00F047D2" w:rsidRPr="00F047D2">
        <w:rPr>
          <w:rFonts w:cs="Arial"/>
          <w:szCs w:val="20"/>
        </w:rPr>
        <w:t xml:space="preserve"> Kunden </w:t>
      </w:r>
      <w:r w:rsidR="001C6F8E">
        <w:rPr>
          <w:rFonts w:cs="Arial"/>
          <w:szCs w:val="20"/>
        </w:rPr>
        <w:t>mit</w:t>
      </w:r>
      <w:r w:rsidR="00F047D2" w:rsidRPr="00F047D2">
        <w:rPr>
          <w:rFonts w:cs="Arial"/>
          <w:szCs w:val="20"/>
        </w:rPr>
        <w:t xml:space="preserve"> </w:t>
      </w:r>
      <w:r w:rsidR="00617FCF">
        <w:rPr>
          <w:rFonts w:cs="Arial"/>
          <w:szCs w:val="20"/>
        </w:rPr>
        <w:t xml:space="preserve">leistungsstarken </w:t>
      </w:r>
      <w:r w:rsidR="00E9074B">
        <w:rPr>
          <w:rFonts w:cs="Arial"/>
          <w:szCs w:val="20"/>
        </w:rPr>
        <w:t>Omnic</w:t>
      </w:r>
      <w:r w:rsidR="00F047D2" w:rsidRPr="00F047D2">
        <w:rPr>
          <w:rFonts w:cs="Arial"/>
          <w:szCs w:val="20"/>
        </w:rPr>
        <w:t xml:space="preserve">hannel-Anwendungen zu </w:t>
      </w:r>
      <w:r w:rsidR="00F91575">
        <w:rPr>
          <w:rFonts w:cs="Arial"/>
          <w:szCs w:val="20"/>
        </w:rPr>
        <w:t>unterstützen</w:t>
      </w:r>
      <w:r w:rsidR="00A8734C">
        <w:rPr>
          <w:rFonts w:cs="Arial"/>
          <w:szCs w:val="20"/>
        </w:rPr>
        <w:t>.</w:t>
      </w: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6A6047" w:rsidRDefault="006A6047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F53584" w:rsidRDefault="00F53584" w:rsidP="00A37904">
      <w:pPr>
        <w:ind w:right="1835"/>
        <w:jc w:val="both"/>
        <w:rPr>
          <w:rFonts w:cs="Arial"/>
          <w:szCs w:val="20"/>
        </w:rPr>
      </w:pPr>
    </w:p>
    <w:p w:rsidR="009218ED" w:rsidRDefault="009218ED" w:rsidP="00A37904">
      <w:pPr>
        <w:ind w:right="1835"/>
        <w:jc w:val="both"/>
        <w:rPr>
          <w:rFonts w:cs="Arial"/>
          <w:szCs w:val="20"/>
        </w:rPr>
      </w:pPr>
    </w:p>
    <w:p w:rsidR="00B0093F" w:rsidRDefault="00B0093F" w:rsidP="00A37904">
      <w:pPr>
        <w:ind w:right="1835"/>
        <w:jc w:val="both"/>
        <w:rPr>
          <w:rFonts w:cs="Arial"/>
          <w:szCs w:val="20"/>
        </w:rPr>
      </w:pPr>
    </w:p>
    <w:p w:rsidR="00B0093F" w:rsidRDefault="00B0093F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8E027B" w:rsidRDefault="008E027B" w:rsidP="00A37904">
      <w:pPr>
        <w:ind w:right="1835"/>
        <w:jc w:val="both"/>
        <w:rPr>
          <w:rFonts w:cs="Arial"/>
          <w:szCs w:val="20"/>
        </w:rPr>
      </w:pPr>
    </w:p>
    <w:p w:rsidR="00D77BBF" w:rsidRDefault="00D77BBF" w:rsidP="00A37904">
      <w:pPr>
        <w:ind w:right="1835"/>
        <w:jc w:val="both"/>
        <w:rPr>
          <w:rFonts w:cs="Arial"/>
          <w:szCs w:val="20"/>
        </w:rPr>
      </w:pPr>
    </w:p>
    <w:p w:rsidR="00A37904" w:rsidRPr="00270942" w:rsidRDefault="00A37904" w:rsidP="00A37904">
      <w:pPr>
        <w:ind w:right="1835"/>
        <w:jc w:val="both"/>
        <w:rPr>
          <w:rFonts w:cs="Arial"/>
          <w:szCs w:val="20"/>
        </w:rPr>
      </w:pPr>
    </w:p>
    <w:p w:rsidR="00384CED" w:rsidRDefault="008D5486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</w:t>
      </w:r>
      <w:proofErr w:type="gramStart"/>
      <w:r w:rsidRPr="009A6B05">
        <w:rPr>
          <w:rFonts w:cs="Arial"/>
          <w:szCs w:val="20"/>
          <w:lang w:val="en-US"/>
        </w:rPr>
        <w:t>.(</w:t>
      </w:r>
      <w:proofErr w:type="gramEnd"/>
      <w:r w:rsidRPr="009A6B05">
        <w:rPr>
          <w:rFonts w:cs="Arial"/>
          <w:szCs w:val="20"/>
          <w:lang w:val="en-US"/>
        </w:rPr>
        <w:t>0)50.486-2267</w:t>
      </w:r>
    </w:p>
    <w:p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0)664.88459713</w:t>
      </w:r>
    </w:p>
    <w:p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0)50.486-1382</w:t>
      </w:r>
    </w:p>
    <w:p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396" w:rsidRDefault="00545396" w:rsidP="00764006">
      <w:pPr>
        <w:spacing w:line="240" w:lineRule="auto"/>
      </w:pPr>
      <w:r>
        <w:separator/>
      </w:r>
    </w:p>
  </w:endnote>
  <w:endnote w:type="continuationSeparator" w:id="0">
    <w:p w:rsidR="00545396" w:rsidRDefault="00545396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D5486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FA1A38">
            <w:rPr>
              <w:sz w:val="16"/>
            </w:rPr>
            <w:t>3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396" w:rsidRDefault="00545396" w:rsidP="00764006">
      <w:pPr>
        <w:spacing w:line="240" w:lineRule="auto"/>
      </w:pPr>
      <w:r>
        <w:separator/>
      </w:r>
    </w:p>
  </w:footnote>
  <w:footnote w:type="continuationSeparator" w:id="0">
    <w:p w:rsidR="00545396" w:rsidRDefault="00545396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5D4E">
      <w:t>Pressemitteilung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30C96"/>
    <w:multiLevelType w:val="hybridMultilevel"/>
    <w:tmpl w:val="2152A5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7"/>
    <w:lvlOverride w:ilvl="0">
      <w:startOverride w:val="1"/>
    </w:lvlOverride>
  </w:num>
  <w:num w:numId="3">
    <w:abstractNumId w:val="15"/>
  </w:num>
  <w:num w:numId="4">
    <w:abstractNumId w:val="24"/>
  </w:num>
  <w:num w:numId="5">
    <w:abstractNumId w:val="14"/>
  </w:num>
  <w:num w:numId="6">
    <w:abstractNumId w:val="4"/>
  </w:num>
  <w:num w:numId="7">
    <w:abstractNumId w:val="16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8"/>
  </w:num>
  <w:num w:numId="13">
    <w:abstractNumId w:val="19"/>
  </w:num>
  <w:num w:numId="14">
    <w:abstractNumId w:val="23"/>
  </w:num>
  <w:num w:numId="15">
    <w:abstractNumId w:val="26"/>
  </w:num>
  <w:num w:numId="16">
    <w:abstractNumId w:val="5"/>
  </w:num>
  <w:num w:numId="17">
    <w:abstractNumId w:val="22"/>
  </w:num>
  <w:num w:numId="18">
    <w:abstractNumId w:val="8"/>
  </w:num>
  <w:num w:numId="19">
    <w:abstractNumId w:val="10"/>
  </w:num>
  <w:num w:numId="20">
    <w:abstractNumId w:val="12"/>
  </w:num>
  <w:num w:numId="21">
    <w:abstractNumId w:val="0"/>
  </w:num>
  <w:num w:numId="22">
    <w:abstractNumId w:val="11"/>
  </w:num>
  <w:num w:numId="23">
    <w:abstractNumId w:val="20"/>
  </w:num>
  <w:num w:numId="24">
    <w:abstractNumId w:val="20"/>
  </w:num>
  <w:num w:numId="25">
    <w:abstractNumId w:val="3"/>
  </w:num>
  <w:num w:numId="26">
    <w:abstractNumId w:val="7"/>
  </w:num>
  <w:num w:numId="27">
    <w:abstractNumId w:val="1"/>
  </w:num>
  <w:num w:numId="28">
    <w:abstractNumId w:val="25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37D"/>
    <w:rsid w:val="00016390"/>
    <w:rsid w:val="00016805"/>
    <w:rsid w:val="00016A42"/>
    <w:rsid w:val="00017B16"/>
    <w:rsid w:val="00020228"/>
    <w:rsid w:val="00020336"/>
    <w:rsid w:val="00020C90"/>
    <w:rsid w:val="00021EE3"/>
    <w:rsid w:val="0002337D"/>
    <w:rsid w:val="00024869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ED2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3CF6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765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4AB6"/>
    <w:rsid w:val="000F6568"/>
    <w:rsid w:val="000F6786"/>
    <w:rsid w:val="000F7D85"/>
    <w:rsid w:val="000F7F79"/>
    <w:rsid w:val="0010030C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774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C84"/>
    <w:rsid w:val="00136EEB"/>
    <w:rsid w:val="00140AAD"/>
    <w:rsid w:val="001411C5"/>
    <w:rsid w:val="001413CA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931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0890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8E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A01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4659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C08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1402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5A7"/>
    <w:rsid w:val="002C40FD"/>
    <w:rsid w:val="002C4808"/>
    <w:rsid w:val="002C49C4"/>
    <w:rsid w:val="002C4AD7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67F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E77EF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37B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2D08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5E7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96451"/>
    <w:rsid w:val="003A0297"/>
    <w:rsid w:val="003A0407"/>
    <w:rsid w:val="003A0544"/>
    <w:rsid w:val="003A1816"/>
    <w:rsid w:val="003A2448"/>
    <w:rsid w:val="003A28BB"/>
    <w:rsid w:val="003A2AEC"/>
    <w:rsid w:val="003A3368"/>
    <w:rsid w:val="003A45CE"/>
    <w:rsid w:val="003A6EC7"/>
    <w:rsid w:val="003A717A"/>
    <w:rsid w:val="003B0D11"/>
    <w:rsid w:val="003B501C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5E91"/>
    <w:rsid w:val="003D66BA"/>
    <w:rsid w:val="003D74F3"/>
    <w:rsid w:val="003D76A4"/>
    <w:rsid w:val="003D7BED"/>
    <w:rsid w:val="003E0954"/>
    <w:rsid w:val="003E13CD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18C1"/>
    <w:rsid w:val="003F32AB"/>
    <w:rsid w:val="003F3360"/>
    <w:rsid w:val="003F46A7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036F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5EA8"/>
    <w:rsid w:val="00436540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75ED0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212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36C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67E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0DF2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4552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4A4D"/>
    <w:rsid w:val="00535915"/>
    <w:rsid w:val="00535AF3"/>
    <w:rsid w:val="00535C51"/>
    <w:rsid w:val="005361DC"/>
    <w:rsid w:val="005362D4"/>
    <w:rsid w:val="005363FF"/>
    <w:rsid w:val="00536DC1"/>
    <w:rsid w:val="00536E62"/>
    <w:rsid w:val="00540580"/>
    <w:rsid w:val="005410DC"/>
    <w:rsid w:val="005415DC"/>
    <w:rsid w:val="00541BCD"/>
    <w:rsid w:val="00541EB6"/>
    <w:rsid w:val="00542E63"/>
    <w:rsid w:val="00543071"/>
    <w:rsid w:val="00543B76"/>
    <w:rsid w:val="00543DAA"/>
    <w:rsid w:val="00545396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466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2BD9"/>
    <w:rsid w:val="005A3199"/>
    <w:rsid w:val="005A34E6"/>
    <w:rsid w:val="005A3DFB"/>
    <w:rsid w:val="005A4173"/>
    <w:rsid w:val="005A4597"/>
    <w:rsid w:val="005A47C9"/>
    <w:rsid w:val="005A5A59"/>
    <w:rsid w:val="005A642C"/>
    <w:rsid w:val="005A6B7D"/>
    <w:rsid w:val="005B1FBE"/>
    <w:rsid w:val="005B3663"/>
    <w:rsid w:val="005B6D02"/>
    <w:rsid w:val="005B7BF0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0D0"/>
    <w:rsid w:val="005D5A03"/>
    <w:rsid w:val="005D625F"/>
    <w:rsid w:val="005D6937"/>
    <w:rsid w:val="005D75C8"/>
    <w:rsid w:val="005E1ADB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E6886"/>
    <w:rsid w:val="005F104C"/>
    <w:rsid w:val="005F2191"/>
    <w:rsid w:val="005F518B"/>
    <w:rsid w:val="005F5638"/>
    <w:rsid w:val="005F7066"/>
    <w:rsid w:val="005F70C7"/>
    <w:rsid w:val="005F7884"/>
    <w:rsid w:val="00600803"/>
    <w:rsid w:val="006027F0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7B6"/>
    <w:rsid w:val="00614EF8"/>
    <w:rsid w:val="00614FAD"/>
    <w:rsid w:val="0061568D"/>
    <w:rsid w:val="006162F8"/>
    <w:rsid w:val="00617D3B"/>
    <w:rsid w:val="00617FCF"/>
    <w:rsid w:val="00620111"/>
    <w:rsid w:val="006217E8"/>
    <w:rsid w:val="00621E6B"/>
    <w:rsid w:val="006221B6"/>
    <w:rsid w:val="006225BA"/>
    <w:rsid w:val="0062336E"/>
    <w:rsid w:val="00623F73"/>
    <w:rsid w:val="00625103"/>
    <w:rsid w:val="00630ADD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088F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0492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67F12"/>
    <w:rsid w:val="00670B3D"/>
    <w:rsid w:val="00671061"/>
    <w:rsid w:val="0067137C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52E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047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162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D6D9F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0782D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2E51"/>
    <w:rsid w:val="007A4CD1"/>
    <w:rsid w:val="007A77BD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1C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6EC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3D54"/>
    <w:rsid w:val="008445AC"/>
    <w:rsid w:val="008451B8"/>
    <w:rsid w:val="00845C66"/>
    <w:rsid w:val="00846F01"/>
    <w:rsid w:val="00847418"/>
    <w:rsid w:val="00847608"/>
    <w:rsid w:val="00850691"/>
    <w:rsid w:val="00851E9F"/>
    <w:rsid w:val="00852464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22A2"/>
    <w:rsid w:val="008A3D69"/>
    <w:rsid w:val="008A6123"/>
    <w:rsid w:val="008A6788"/>
    <w:rsid w:val="008A6EC7"/>
    <w:rsid w:val="008A6F29"/>
    <w:rsid w:val="008A6F35"/>
    <w:rsid w:val="008A7B28"/>
    <w:rsid w:val="008B0155"/>
    <w:rsid w:val="008B027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0896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5486"/>
    <w:rsid w:val="008D6087"/>
    <w:rsid w:val="008D6572"/>
    <w:rsid w:val="008D7125"/>
    <w:rsid w:val="008D7433"/>
    <w:rsid w:val="008D75EB"/>
    <w:rsid w:val="008D7888"/>
    <w:rsid w:val="008E027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8ED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773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397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6C24"/>
    <w:rsid w:val="0099759A"/>
    <w:rsid w:val="00997C08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B8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7A9"/>
    <w:rsid w:val="009E4967"/>
    <w:rsid w:val="009E4F3C"/>
    <w:rsid w:val="009E5A11"/>
    <w:rsid w:val="009E62D9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3E59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5515"/>
    <w:rsid w:val="00A37904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CC7"/>
    <w:rsid w:val="00A54EE1"/>
    <w:rsid w:val="00A54EEB"/>
    <w:rsid w:val="00A56274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3F3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34C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291"/>
    <w:rsid w:val="00AC4EB4"/>
    <w:rsid w:val="00AC6E61"/>
    <w:rsid w:val="00AC7BDE"/>
    <w:rsid w:val="00AD0493"/>
    <w:rsid w:val="00AD0B54"/>
    <w:rsid w:val="00AD0DDB"/>
    <w:rsid w:val="00AD23CC"/>
    <w:rsid w:val="00AD3796"/>
    <w:rsid w:val="00AD37FE"/>
    <w:rsid w:val="00AD4324"/>
    <w:rsid w:val="00AD5168"/>
    <w:rsid w:val="00AD5AFC"/>
    <w:rsid w:val="00AD5ED0"/>
    <w:rsid w:val="00AD70A4"/>
    <w:rsid w:val="00AE0514"/>
    <w:rsid w:val="00AE05E9"/>
    <w:rsid w:val="00AE08CF"/>
    <w:rsid w:val="00AE0965"/>
    <w:rsid w:val="00AE0F0A"/>
    <w:rsid w:val="00AE10E6"/>
    <w:rsid w:val="00AE1364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45A6"/>
    <w:rsid w:val="00AF59A7"/>
    <w:rsid w:val="00AF5BFC"/>
    <w:rsid w:val="00AF6142"/>
    <w:rsid w:val="00AF61E2"/>
    <w:rsid w:val="00AF66EB"/>
    <w:rsid w:val="00AF7AB3"/>
    <w:rsid w:val="00AF7D9E"/>
    <w:rsid w:val="00B00486"/>
    <w:rsid w:val="00B0093F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214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471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4C8E"/>
    <w:rsid w:val="00B872BE"/>
    <w:rsid w:val="00B8740E"/>
    <w:rsid w:val="00B87A90"/>
    <w:rsid w:val="00B87B68"/>
    <w:rsid w:val="00B904F1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1CD"/>
    <w:rsid w:val="00BC44E2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5AC8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C13"/>
    <w:rsid w:val="00C25EE9"/>
    <w:rsid w:val="00C263C3"/>
    <w:rsid w:val="00C272DC"/>
    <w:rsid w:val="00C275AD"/>
    <w:rsid w:val="00C3081C"/>
    <w:rsid w:val="00C31C7C"/>
    <w:rsid w:val="00C31CEB"/>
    <w:rsid w:val="00C31E2C"/>
    <w:rsid w:val="00C321DD"/>
    <w:rsid w:val="00C3374B"/>
    <w:rsid w:val="00C33E5F"/>
    <w:rsid w:val="00C34520"/>
    <w:rsid w:val="00C34574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2E45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514E"/>
    <w:rsid w:val="00C758DB"/>
    <w:rsid w:val="00C75B4A"/>
    <w:rsid w:val="00C7621E"/>
    <w:rsid w:val="00C76EB3"/>
    <w:rsid w:val="00C80202"/>
    <w:rsid w:val="00C80DF7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03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6E67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425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2DBE"/>
    <w:rsid w:val="00CF30C0"/>
    <w:rsid w:val="00CF3482"/>
    <w:rsid w:val="00CF3F5D"/>
    <w:rsid w:val="00CF48FC"/>
    <w:rsid w:val="00CF5526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4500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2C2D"/>
    <w:rsid w:val="00DF4AD4"/>
    <w:rsid w:val="00DF5209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0B0A"/>
    <w:rsid w:val="00E1176D"/>
    <w:rsid w:val="00E118FD"/>
    <w:rsid w:val="00E123A8"/>
    <w:rsid w:val="00E12577"/>
    <w:rsid w:val="00E12EB6"/>
    <w:rsid w:val="00E13667"/>
    <w:rsid w:val="00E13679"/>
    <w:rsid w:val="00E13C12"/>
    <w:rsid w:val="00E13EC7"/>
    <w:rsid w:val="00E143FA"/>
    <w:rsid w:val="00E148D6"/>
    <w:rsid w:val="00E14AA9"/>
    <w:rsid w:val="00E15493"/>
    <w:rsid w:val="00E15606"/>
    <w:rsid w:val="00E15A90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5DB6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87D4A"/>
    <w:rsid w:val="00E900FE"/>
    <w:rsid w:val="00E90503"/>
    <w:rsid w:val="00E9074B"/>
    <w:rsid w:val="00E9257D"/>
    <w:rsid w:val="00E92729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0EC9"/>
    <w:rsid w:val="00EA2BDE"/>
    <w:rsid w:val="00EA2E6F"/>
    <w:rsid w:val="00EA365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47D2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5C95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0397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368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CA0"/>
    <w:rsid w:val="00F55710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3256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1575"/>
    <w:rsid w:val="00F927D3"/>
    <w:rsid w:val="00F9493B"/>
    <w:rsid w:val="00F97136"/>
    <w:rsid w:val="00F97D38"/>
    <w:rsid w:val="00FA1A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2EA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546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42D1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C72ABAE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32915-F8A6-4F1D-A546-82A812C5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TGW übergibt Distributionszentrum an Mayoral</vt:lpstr>
    </vt:vector>
  </TitlesOfParts>
  <Company>TGW Group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übergibt Distributionszentrum an Mayoral</dc:title>
  <dc:creator>Wohlfarth Andrea</dc:creator>
  <cp:lastModifiedBy>Tahedl Alexander</cp:lastModifiedBy>
  <cp:revision>374</cp:revision>
  <cp:lastPrinted>2020-09-07T05:28:00Z</cp:lastPrinted>
  <dcterms:created xsi:type="dcterms:W3CDTF">2020-10-14T12:02:00Z</dcterms:created>
  <dcterms:modified xsi:type="dcterms:W3CDTF">2021-02-15T09:28:00Z</dcterms:modified>
</cp:coreProperties>
</file>