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52" w:rsidRPr="00B91BEB" w:rsidRDefault="0047585B" w:rsidP="00FE0F44">
      <w:pPr>
        <w:pStyle w:val="berschrift1"/>
        <w:spacing w:before="120" w:after="240" w:line="360" w:lineRule="auto"/>
        <w:ind w:right="1985"/>
        <w:rPr>
          <w:lang w:val="de-DE"/>
        </w:rPr>
      </w:pPr>
      <w:r w:rsidRPr="00B91BEB">
        <w:rPr>
          <w:lang w:val="de-DE"/>
        </w:rPr>
        <w:t xml:space="preserve">Maßgeschneiderte Bestleistung für adidas do Brasil – </w:t>
      </w:r>
      <w:proofErr w:type="spellStart"/>
      <w:r w:rsidRPr="00B91BEB">
        <w:rPr>
          <w:lang w:val="de-DE"/>
        </w:rPr>
        <w:t>powered</w:t>
      </w:r>
      <w:proofErr w:type="spellEnd"/>
      <w:r w:rsidRPr="00B91BEB">
        <w:rPr>
          <w:lang w:val="de-DE"/>
        </w:rPr>
        <w:t xml:space="preserve"> </w:t>
      </w:r>
      <w:proofErr w:type="spellStart"/>
      <w:r w:rsidRPr="00B91BEB">
        <w:rPr>
          <w:lang w:val="de-DE"/>
        </w:rPr>
        <w:t>by</w:t>
      </w:r>
      <w:proofErr w:type="spellEnd"/>
      <w:r w:rsidRPr="00B91BEB">
        <w:rPr>
          <w:lang w:val="de-DE"/>
        </w:rPr>
        <w:t xml:space="preserve"> TGW</w:t>
      </w:r>
    </w:p>
    <w:p w:rsidR="002F1A70" w:rsidRDefault="00CD0FCC" w:rsidP="0047585B">
      <w:pPr>
        <w:spacing w:before="120" w:after="240" w:line="360" w:lineRule="auto"/>
        <w:ind w:right="1985"/>
        <w:rPr>
          <w:rFonts w:cs="Arial"/>
          <w:b/>
          <w:lang w:val="de-DE"/>
        </w:rPr>
      </w:pPr>
      <w:r w:rsidRPr="00B91BEB">
        <w:rPr>
          <w:rFonts w:cs="Arial"/>
          <w:b/>
          <w:lang w:val="de-DE"/>
        </w:rPr>
        <w:t xml:space="preserve">Im Sport steht adidas für Höchstleistung – mit dem Ziel Sportler bestmöglich dabei zu unterstützen, ihre Leistung zu verbessern und gleichzeitig ihr Wohlbefinden zu steigern. </w:t>
      </w:r>
      <w:r w:rsidR="002F1A70">
        <w:rPr>
          <w:rFonts w:cs="Arial"/>
          <w:b/>
          <w:lang w:val="de-DE"/>
        </w:rPr>
        <w:t xml:space="preserve">Nun steigert adidas die eigene Höchstleistung: Der österreichische Systemintegrator TGW errichtet in </w:t>
      </w:r>
      <w:proofErr w:type="spellStart"/>
      <w:r w:rsidR="002F1A70">
        <w:rPr>
          <w:rFonts w:cs="Arial"/>
          <w:b/>
          <w:lang w:val="de-DE"/>
        </w:rPr>
        <w:t>Embu</w:t>
      </w:r>
      <w:proofErr w:type="spellEnd"/>
      <w:r w:rsidR="002F1A70">
        <w:rPr>
          <w:rFonts w:cs="Arial"/>
          <w:b/>
          <w:lang w:val="de-DE"/>
        </w:rPr>
        <w:t xml:space="preserve"> das Artes, Brasilien, ein neues, leistungsstarkes Logistikzentrum.</w:t>
      </w:r>
    </w:p>
    <w:p w:rsidR="0047585B" w:rsidRPr="00B91BEB" w:rsidRDefault="00F05D1E" w:rsidP="0047585B">
      <w:pPr>
        <w:spacing w:before="120" w:after="240" w:line="360" w:lineRule="auto"/>
        <w:ind w:right="1985"/>
        <w:rPr>
          <w:rFonts w:cs="Arial"/>
          <w:lang w:val="de-DE"/>
        </w:rPr>
      </w:pPr>
      <w:r w:rsidRPr="00B91BEB">
        <w:rPr>
          <w:rFonts w:cs="Arial"/>
          <w:lang w:val="de-DE"/>
        </w:rPr>
        <w:t xml:space="preserve">Bestleistung im Sport und Bestleistung in der Logistik. adidas do Brasil erhält in Kürze </w:t>
      </w:r>
      <w:r w:rsidR="002F1A70">
        <w:rPr>
          <w:rFonts w:cs="Arial"/>
          <w:lang w:val="de-DE"/>
        </w:rPr>
        <w:t>modernste Logistik</w:t>
      </w:r>
      <w:bookmarkStart w:id="0" w:name="_GoBack"/>
      <w:bookmarkEnd w:id="0"/>
      <w:r w:rsidRPr="00B91BEB">
        <w:rPr>
          <w:rFonts w:cs="Arial"/>
          <w:lang w:val="de-DE"/>
        </w:rPr>
        <w:t xml:space="preserve"> am Standort in Embu das Artes, in der Nähe von São Paulo. TGW errichtet ein sportliches Distributionszentrum, das den brasilianischen Markt mit Hilfe eines einzigartigen, eigens auf adidas zugeschnittenen Kommissioniersystems bedienen wird. Auch das IT-System iWACS</w:t>
      </w:r>
      <w:r w:rsidRPr="00B91BEB">
        <w:rPr>
          <w:rFonts w:cs="Arial"/>
          <w:vertAlign w:val="superscript"/>
          <w:lang w:val="de-DE"/>
        </w:rPr>
        <w:t>®</w:t>
      </w:r>
      <w:r w:rsidRPr="00B91BEB">
        <w:rPr>
          <w:rFonts w:cs="Arial"/>
          <w:lang w:val="de-DE"/>
        </w:rPr>
        <w:t xml:space="preserve">.MFC, welches den Materialfluss für die durchgängig hohe Förderleistung sicherstellen wird, sowie die Steuerung TGW Commander kommen aus dem Hause TGW. Ein komplexes Fördersystem mit 2,1 Kilometer langer Fördertechnik verbindet die unterschiedlichen Bereich im Distributionszentrum. </w:t>
      </w:r>
    </w:p>
    <w:p w:rsidR="00F05D1E" w:rsidRPr="00B91BEB" w:rsidRDefault="00F05D1E" w:rsidP="0047585B">
      <w:pPr>
        <w:spacing w:before="120" w:after="240" w:line="360" w:lineRule="auto"/>
        <w:ind w:right="1985"/>
        <w:rPr>
          <w:rFonts w:cs="Arial"/>
          <w:lang w:val="de-DE"/>
        </w:rPr>
      </w:pPr>
      <w:r w:rsidRPr="00B91BEB">
        <w:rPr>
          <w:rFonts w:cs="Arial"/>
          <w:lang w:val="de-DE"/>
        </w:rPr>
        <w:t xml:space="preserve">Zusätzlich zur Mechanik und Software für das neue Distributionszentrum bietet TGW adidas auch ein Lifetime Service-Paket, welches die nötigen Ersatzteile sowie einen 2-Jahres-Wartungsvertrag inkl. Hotline Service rund um die Uhr umfasst. </w:t>
      </w:r>
      <w:proofErr w:type="spellStart"/>
      <w:r w:rsidRPr="00B91BEB">
        <w:rPr>
          <w:rFonts w:cs="Arial"/>
          <w:lang w:val="de-DE"/>
        </w:rPr>
        <w:t>Diogo</w:t>
      </w:r>
      <w:proofErr w:type="spellEnd"/>
      <w:r w:rsidRPr="00B91BEB">
        <w:rPr>
          <w:rFonts w:cs="Arial"/>
          <w:lang w:val="de-DE"/>
        </w:rPr>
        <w:t xml:space="preserve"> </w:t>
      </w:r>
      <w:proofErr w:type="spellStart"/>
      <w:r w:rsidRPr="00B91BEB">
        <w:rPr>
          <w:rFonts w:cs="Arial"/>
          <w:lang w:val="de-DE"/>
        </w:rPr>
        <w:t>Figueiredo</w:t>
      </w:r>
      <w:proofErr w:type="spellEnd"/>
      <w:r w:rsidRPr="00B91BEB">
        <w:rPr>
          <w:rFonts w:cs="Arial"/>
          <w:lang w:val="de-DE"/>
        </w:rPr>
        <w:t xml:space="preserve">, SCM </w:t>
      </w:r>
      <w:proofErr w:type="spellStart"/>
      <w:r w:rsidRPr="00B91BEB">
        <w:rPr>
          <w:rFonts w:cs="Arial"/>
          <w:lang w:val="de-DE"/>
        </w:rPr>
        <w:t>Director</w:t>
      </w:r>
      <w:proofErr w:type="spellEnd"/>
      <w:r w:rsidRPr="00B91BEB">
        <w:rPr>
          <w:rFonts w:cs="Arial"/>
          <w:lang w:val="de-DE"/>
        </w:rPr>
        <w:t xml:space="preserve"> bei adidas do Brasil, freut sich über den Projektstart: "adidas do Brasil gilt als einer der besten Logistikdienstleister am Sportartikel-Markt. Mit TGW als Partner erwarten wir uns eine Steigerung unserer Leistungsfähigkeit in diesem hart umkämpften Geschäft." </w:t>
      </w:r>
    </w:p>
    <w:p w:rsidR="00F05D1E" w:rsidRPr="00B91BEB" w:rsidRDefault="00F05D1E" w:rsidP="0047585B">
      <w:pPr>
        <w:spacing w:before="120" w:after="240" w:line="360" w:lineRule="auto"/>
        <w:ind w:right="1985"/>
        <w:rPr>
          <w:rFonts w:cs="Arial"/>
          <w:lang w:val="de-DE"/>
        </w:rPr>
      </w:pPr>
    </w:p>
    <w:p w:rsidR="002B4D99" w:rsidRPr="002F1A70" w:rsidRDefault="002B4D99" w:rsidP="00260B53">
      <w:pPr>
        <w:spacing w:line="360" w:lineRule="auto"/>
        <w:ind w:right="1983"/>
        <w:rPr>
          <w:lang w:val="en-GB"/>
        </w:rPr>
      </w:pPr>
      <w:r w:rsidRPr="002F1A70">
        <w:rPr>
          <w:lang w:val="en-GB"/>
        </w:rPr>
        <w:t>www.tgw-group.com</w:t>
      </w:r>
    </w:p>
    <w:p w:rsidR="002B4D99" w:rsidRPr="002F1A70" w:rsidRDefault="002B4D99" w:rsidP="00260B53">
      <w:pPr>
        <w:spacing w:line="360" w:lineRule="auto"/>
        <w:ind w:right="1983"/>
        <w:rPr>
          <w:lang w:val="en-GB"/>
        </w:rPr>
      </w:pPr>
    </w:p>
    <w:p w:rsidR="003A4B21" w:rsidRPr="002F1A70" w:rsidRDefault="003A4B21" w:rsidP="003A4B21">
      <w:pPr>
        <w:spacing w:before="240" w:after="120" w:line="360" w:lineRule="auto"/>
        <w:ind w:right="1983"/>
        <w:rPr>
          <w:b/>
          <w:bCs/>
          <w:lang w:val="en-GB"/>
        </w:rPr>
      </w:pPr>
      <w:proofErr w:type="spellStart"/>
      <w:r w:rsidRPr="002F1A70">
        <w:rPr>
          <w:b/>
          <w:bCs/>
          <w:lang w:val="en-GB"/>
        </w:rPr>
        <w:lastRenderedPageBreak/>
        <w:t>Über</w:t>
      </w:r>
      <w:proofErr w:type="spellEnd"/>
      <w:r w:rsidRPr="002F1A70">
        <w:rPr>
          <w:b/>
          <w:bCs/>
          <w:lang w:val="en-GB"/>
        </w:rPr>
        <w:t xml:space="preserve"> die TGW Logistics Group:</w:t>
      </w:r>
    </w:p>
    <w:p w:rsidR="00652BBC" w:rsidRPr="00B91BEB" w:rsidRDefault="00652BBC" w:rsidP="00652BBC">
      <w:pPr>
        <w:spacing w:before="240" w:after="120" w:line="360" w:lineRule="auto"/>
        <w:ind w:right="1983"/>
        <w:rPr>
          <w:lang w:val="de-DE"/>
        </w:rPr>
      </w:pPr>
      <w:r w:rsidRPr="00B91BEB">
        <w:rPr>
          <w:lang w:val="de-DE"/>
        </w:rPr>
        <w:t xml:space="preserve">Die TGW </w:t>
      </w:r>
      <w:proofErr w:type="spellStart"/>
      <w:r w:rsidRPr="00B91BEB">
        <w:rPr>
          <w:lang w:val="de-DE"/>
        </w:rPr>
        <w:t>Logistics</w:t>
      </w:r>
      <w:proofErr w:type="spellEnd"/>
      <w:r w:rsidRPr="00B91BEB">
        <w:rPr>
          <w:lang w:val="de-DE"/>
        </w:rPr>
        <w:t xml:space="preserve">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rsidR="00652BBC" w:rsidRPr="00B91BEB" w:rsidRDefault="00E5309F" w:rsidP="00652BBC">
      <w:pPr>
        <w:spacing w:before="240" w:after="120" w:line="360" w:lineRule="auto"/>
        <w:ind w:right="1983"/>
        <w:rPr>
          <w:lang w:val="de-DE"/>
        </w:rPr>
      </w:pPr>
      <w:r w:rsidRPr="00B91BEB">
        <w:rPr>
          <w:lang w:val="de-DE"/>
        </w:rPr>
        <w:t>Mit rund 2.000 Mitarbeitern weltweit realisiert die Gruppe Logistiklösungen für führende Unternehmen in verschiedensten Branchen. Dadurch erzielte die TGW Logistics Group im Wirtschaftsjahr 2013/14 Umsatzerlöse von € 371 Mio.</w:t>
      </w:r>
    </w:p>
    <w:p w:rsidR="003A4B21" w:rsidRPr="00B91BEB" w:rsidRDefault="003A4B21" w:rsidP="003A4B21">
      <w:pPr>
        <w:spacing w:before="240" w:after="120" w:line="360" w:lineRule="auto"/>
        <w:ind w:right="1983"/>
        <w:rPr>
          <w:b/>
          <w:bCs/>
          <w:lang w:val="de-DE"/>
        </w:rPr>
      </w:pPr>
      <w:r w:rsidRPr="00B91BEB">
        <w:rPr>
          <w:b/>
          <w:bCs/>
          <w:lang w:val="de-DE"/>
        </w:rPr>
        <w:t>Bilder:</w:t>
      </w:r>
    </w:p>
    <w:p w:rsidR="003A4B21" w:rsidRPr="00B91BEB" w:rsidRDefault="003A4B21" w:rsidP="003A4B21">
      <w:pPr>
        <w:spacing w:before="240" w:after="120" w:line="360" w:lineRule="auto"/>
        <w:ind w:right="1983"/>
        <w:rPr>
          <w:lang w:val="de-DE"/>
        </w:rPr>
      </w:pPr>
      <w:r w:rsidRPr="00B91BEB">
        <w:rPr>
          <w:lang w:val="de-DE"/>
        </w:rPr>
        <w:t>Quelle: TGW Logistics Group GmbH</w:t>
      </w:r>
      <w:r w:rsidRPr="00B91BEB">
        <w:rPr>
          <w:lang w:val="de-DE"/>
        </w:rPr>
        <w:br/>
        <w:t>Abdruck mit Quellangabe und zu Presseberichten, die sich vorwiegend mit der TGW Logistics Group GmbH befassen, honorarfrei. Kein honorarfreier Abdruck für werbliche Zwecke.</w:t>
      </w:r>
    </w:p>
    <w:p w:rsidR="00260B53" w:rsidRPr="00B91BEB" w:rsidRDefault="00260B53" w:rsidP="00260B53">
      <w:pPr>
        <w:spacing w:line="360" w:lineRule="auto"/>
        <w:ind w:right="1983"/>
        <w:rPr>
          <w:lang w:val="de-DE"/>
        </w:rPr>
      </w:pPr>
    </w:p>
    <w:tbl>
      <w:tblPr>
        <w:tblW w:w="0" w:type="auto"/>
        <w:tblLook w:val="04A0" w:firstRow="1" w:lastRow="0" w:firstColumn="1" w:lastColumn="0" w:noHBand="0" w:noVBand="1"/>
      </w:tblPr>
      <w:tblGrid>
        <w:gridCol w:w="4889"/>
        <w:gridCol w:w="4889"/>
      </w:tblGrid>
      <w:tr w:rsidR="002B4D99" w:rsidRPr="002F1A70" w:rsidTr="00957E9B">
        <w:tc>
          <w:tcPr>
            <w:tcW w:w="4889" w:type="dxa"/>
            <w:shd w:val="clear" w:color="auto" w:fill="auto"/>
          </w:tcPr>
          <w:p w:rsidR="002B4D99" w:rsidRPr="00B91BEB" w:rsidRDefault="003A4B21" w:rsidP="00957E9B">
            <w:pPr>
              <w:rPr>
                <w:b/>
                <w:lang w:val="de-DE"/>
              </w:rPr>
            </w:pPr>
            <w:r w:rsidRPr="00B91BEB">
              <w:rPr>
                <w:b/>
                <w:lang w:val="de-DE"/>
              </w:rPr>
              <w:t>Kontakt:</w:t>
            </w:r>
          </w:p>
          <w:p w:rsidR="002B4D99" w:rsidRPr="00B91BEB" w:rsidRDefault="002B4D99" w:rsidP="00957E9B">
            <w:pPr>
              <w:spacing w:after="0"/>
              <w:rPr>
                <w:lang w:val="de-DE"/>
              </w:rPr>
            </w:pPr>
            <w:r w:rsidRPr="00B91BEB">
              <w:rPr>
                <w:lang w:val="de-DE"/>
              </w:rPr>
              <w:t>TGW Logistics Group GmbH</w:t>
            </w:r>
          </w:p>
          <w:p w:rsidR="002B4D99" w:rsidRPr="00B91BEB" w:rsidRDefault="002B4D99" w:rsidP="00957E9B">
            <w:pPr>
              <w:spacing w:after="0"/>
              <w:rPr>
                <w:lang w:val="de-DE"/>
              </w:rPr>
            </w:pPr>
            <w:r w:rsidRPr="00B91BEB">
              <w:rPr>
                <w:lang w:val="de-DE"/>
              </w:rPr>
              <w:t>4600 Wels, Collmannstraße 2, Austria</w:t>
            </w:r>
          </w:p>
          <w:p w:rsidR="002B4D99" w:rsidRPr="00B91BEB" w:rsidRDefault="002B4D99" w:rsidP="00957E9B">
            <w:pPr>
              <w:spacing w:after="0"/>
              <w:rPr>
                <w:lang w:val="de-DE"/>
              </w:rPr>
            </w:pPr>
            <w:r w:rsidRPr="00B91BEB">
              <w:rPr>
                <w:lang w:val="de-DE"/>
              </w:rPr>
              <w:t>T: +43.(0)7242.486-0</w:t>
            </w:r>
          </w:p>
          <w:p w:rsidR="002B4D99" w:rsidRPr="002F1A70" w:rsidRDefault="002B4D99" w:rsidP="00957E9B">
            <w:pPr>
              <w:spacing w:after="0"/>
              <w:rPr>
                <w:lang w:val="it-IT"/>
              </w:rPr>
            </w:pPr>
            <w:r w:rsidRPr="002F1A70">
              <w:rPr>
                <w:lang w:val="it-IT"/>
              </w:rPr>
              <w:t>F: +43.(0)7242.486-31</w:t>
            </w:r>
          </w:p>
          <w:p w:rsidR="002B4D99" w:rsidRPr="002F1A70" w:rsidRDefault="002B4D99" w:rsidP="00957E9B">
            <w:pPr>
              <w:spacing w:after="0"/>
              <w:rPr>
                <w:lang w:val="it-IT"/>
              </w:rPr>
            </w:pPr>
            <w:r w:rsidRPr="002F1A70">
              <w:rPr>
                <w:lang w:val="it-IT"/>
              </w:rPr>
              <w:t>e-mail: tgw@tgw-group.com</w:t>
            </w:r>
          </w:p>
        </w:tc>
        <w:tc>
          <w:tcPr>
            <w:tcW w:w="4889" w:type="dxa"/>
            <w:shd w:val="clear" w:color="auto" w:fill="auto"/>
          </w:tcPr>
          <w:p w:rsidR="002B4D99" w:rsidRPr="002F1A70" w:rsidRDefault="002B4D99" w:rsidP="00652BBC">
            <w:pPr>
              <w:spacing w:after="0"/>
              <w:ind w:left="214"/>
              <w:rPr>
                <w:lang w:val="it-IT"/>
              </w:rPr>
            </w:pPr>
          </w:p>
        </w:tc>
      </w:tr>
    </w:tbl>
    <w:p w:rsidR="002B4D99" w:rsidRPr="002F1A70" w:rsidRDefault="002B4D99" w:rsidP="002B4D99">
      <w:pPr>
        <w:ind w:right="1983"/>
        <w:rPr>
          <w:lang w:val="it-IT"/>
        </w:rPr>
      </w:pPr>
    </w:p>
    <w:p w:rsidR="002D72FD" w:rsidRPr="002F1A70" w:rsidRDefault="002D72FD" w:rsidP="002D72FD">
      <w:pPr>
        <w:rPr>
          <w:b/>
          <w:lang w:val="en-GB"/>
        </w:rPr>
      </w:pPr>
      <w:proofErr w:type="spellStart"/>
      <w:r w:rsidRPr="002F1A70">
        <w:rPr>
          <w:b/>
          <w:lang w:val="en-GB"/>
        </w:rPr>
        <w:t>Pressekontakt</w:t>
      </w:r>
      <w:proofErr w:type="spellEnd"/>
      <w:r w:rsidRPr="002F1A70">
        <w:rPr>
          <w:b/>
          <w:lang w:val="en-GB"/>
        </w:rPr>
        <w:t>:</w:t>
      </w:r>
    </w:p>
    <w:p w:rsidR="002D72FD" w:rsidRPr="002F1A70" w:rsidRDefault="002D72FD" w:rsidP="002D72FD">
      <w:pPr>
        <w:spacing w:after="0"/>
        <w:rPr>
          <w:lang w:val="en-GB"/>
        </w:rPr>
      </w:pPr>
      <w:r w:rsidRPr="002F1A70">
        <w:rPr>
          <w:lang w:val="en-GB"/>
        </w:rPr>
        <w:t>Martin Kirchmayr</w:t>
      </w:r>
      <w:r w:rsidRPr="002F1A70">
        <w:rPr>
          <w:lang w:val="en-GB"/>
        </w:rPr>
        <w:tab/>
      </w:r>
      <w:r w:rsidRPr="002F1A70">
        <w:rPr>
          <w:lang w:val="en-GB"/>
        </w:rPr>
        <w:tab/>
      </w:r>
      <w:r w:rsidRPr="002F1A70">
        <w:rPr>
          <w:lang w:val="en-GB"/>
        </w:rPr>
        <w:tab/>
      </w:r>
      <w:r w:rsidRPr="002F1A70">
        <w:rPr>
          <w:lang w:val="en-GB"/>
        </w:rPr>
        <w:tab/>
        <w:t xml:space="preserve">     Daniela Nowak</w:t>
      </w:r>
    </w:p>
    <w:p w:rsidR="002D72FD" w:rsidRPr="002F1A70" w:rsidRDefault="002D72FD" w:rsidP="002D72FD">
      <w:pPr>
        <w:spacing w:after="0"/>
        <w:rPr>
          <w:lang w:val="en-GB"/>
        </w:rPr>
      </w:pPr>
      <w:r w:rsidRPr="002F1A70">
        <w:rPr>
          <w:lang w:val="en-GB"/>
        </w:rPr>
        <w:t>Marketing &amp; Communication Manager</w:t>
      </w:r>
      <w:r w:rsidRPr="002F1A70">
        <w:rPr>
          <w:lang w:val="en-GB"/>
        </w:rPr>
        <w:tab/>
        <w:t xml:space="preserve">     Marketing &amp; Communication Specialist</w:t>
      </w:r>
    </w:p>
    <w:p w:rsidR="002D72FD" w:rsidRPr="00B91BEB" w:rsidRDefault="002D72FD" w:rsidP="002D72FD">
      <w:pPr>
        <w:spacing w:after="0"/>
        <w:rPr>
          <w:lang w:val="de-DE"/>
        </w:rPr>
      </w:pPr>
      <w:r w:rsidRPr="00B91BEB">
        <w:rPr>
          <w:lang w:val="de-DE"/>
        </w:rPr>
        <w:t>T: +43.(0)7242.486-1382</w:t>
      </w:r>
      <w:r w:rsidRPr="00B91BEB">
        <w:rPr>
          <w:lang w:val="de-DE"/>
        </w:rPr>
        <w:tab/>
      </w:r>
      <w:r w:rsidRPr="00B91BEB">
        <w:rPr>
          <w:lang w:val="de-DE"/>
        </w:rPr>
        <w:tab/>
      </w:r>
      <w:r w:rsidRPr="00B91BEB">
        <w:rPr>
          <w:lang w:val="de-DE"/>
        </w:rPr>
        <w:tab/>
        <w:t xml:space="preserve">     T: +43.(0)7242.486-1059</w:t>
      </w:r>
    </w:p>
    <w:p w:rsidR="002D72FD" w:rsidRPr="00B91BEB" w:rsidRDefault="002D72FD" w:rsidP="002D72FD">
      <w:pPr>
        <w:spacing w:after="0"/>
        <w:rPr>
          <w:lang w:val="de-DE"/>
        </w:rPr>
      </w:pPr>
      <w:r w:rsidRPr="00B91BEB">
        <w:rPr>
          <w:lang w:val="de-DE"/>
        </w:rPr>
        <w:t>M: +43.(0)664.8187423</w:t>
      </w:r>
    </w:p>
    <w:p w:rsidR="002D72FD" w:rsidRPr="00B91BEB" w:rsidRDefault="002F1A70" w:rsidP="002D72FD">
      <w:pPr>
        <w:ind w:right="1983"/>
        <w:rPr>
          <w:lang w:val="de-DE"/>
        </w:rPr>
      </w:pPr>
      <w:hyperlink r:id="rId9" w:history="1">
        <w:r w:rsidR="00CD0FCC" w:rsidRPr="00B91BEB">
          <w:rPr>
            <w:rStyle w:val="Hyperlink"/>
            <w:lang w:val="de-DE"/>
          </w:rPr>
          <w:t>martin.kirchmayr@tgw-group.com</w:t>
        </w:r>
      </w:hyperlink>
      <w:r w:rsidR="00CD0FCC" w:rsidRPr="00B91BEB">
        <w:rPr>
          <w:lang w:val="de-DE"/>
        </w:rPr>
        <w:tab/>
      </w:r>
      <w:r w:rsidR="00CD0FCC" w:rsidRPr="00B91BEB">
        <w:rPr>
          <w:lang w:val="de-DE"/>
        </w:rPr>
        <w:tab/>
        <w:t xml:space="preserve">     </w:t>
      </w:r>
      <w:hyperlink w:history="1">
        <w:r w:rsidR="00CD0FCC" w:rsidRPr="00B91BEB">
          <w:rPr>
            <w:rStyle w:val="Hyperlink"/>
            <w:lang w:val="de-DE"/>
          </w:rPr>
          <w:t>daniela.nowak@tgw-group.com</w:t>
        </w:r>
      </w:hyperlink>
    </w:p>
    <w:p w:rsidR="00451229" w:rsidRPr="00B91BEB" w:rsidRDefault="00451229">
      <w:pPr>
        <w:ind w:right="1983"/>
        <w:rPr>
          <w:lang w:val="de-DE"/>
        </w:rPr>
      </w:pPr>
    </w:p>
    <w:sectPr w:rsidR="00451229" w:rsidRPr="00B91BEB" w:rsidSect="00D95B7C">
      <w:headerReference w:type="default" r:id="rId10"/>
      <w:footerReference w:type="default" r:id="rId11"/>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E84" w:rsidRDefault="001F6E84" w:rsidP="00FD6AEE">
      <w:pPr>
        <w:spacing w:after="0" w:line="240" w:lineRule="auto"/>
      </w:pPr>
      <w:r>
        <w:separator/>
      </w:r>
    </w:p>
  </w:endnote>
  <w:endnote w:type="continuationSeparator" w:id="0">
    <w:p w:rsidR="001F6E84" w:rsidRDefault="001F6E84"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charset w:val="86"/>
    <w:family w:val="auto"/>
    <w:pitch w:val="variable"/>
    <w:sig w:usb0="00000003"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Pr="00985472" w:rsidRDefault="003A4B21" w:rsidP="00DC57E0">
    <w:pPr>
      <w:pStyle w:val="Fuzeile"/>
      <w:jc w:val="right"/>
    </w:pPr>
    <w:r>
      <w:t xml:space="preserve">Seite </w:t>
    </w:r>
    <w:r>
      <w:fldChar w:fldCharType="begin"/>
    </w:r>
    <w:r>
      <w:instrText>PAGE   \* MERGEFORMAT</w:instrText>
    </w:r>
    <w:r>
      <w:fldChar w:fldCharType="separate"/>
    </w:r>
    <w:r w:rsidR="002F1A7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E84" w:rsidRDefault="001F6E84" w:rsidP="00FD6AEE">
      <w:pPr>
        <w:spacing w:after="0" w:line="240" w:lineRule="auto"/>
      </w:pPr>
      <w:r>
        <w:separator/>
      </w:r>
    </w:p>
  </w:footnote>
  <w:footnote w:type="continuationSeparator" w:id="0">
    <w:p w:rsidR="001F6E84" w:rsidRDefault="001F6E84"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Default="00FE0F44" w:rsidP="00D95B7C">
    <w:pPr>
      <w:pStyle w:val="Titel"/>
    </w:pPr>
    <w:r>
      <w:rPr>
        <w:noProof/>
        <w:lang w:eastAsia="de-AT"/>
      </w:rPr>
      <w:drawing>
        <wp:anchor distT="0" distB="0" distL="114300" distR="114300" simplePos="0" relativeHeight="251657728" behindDoc="0" locked="0" layoutInCell="1" allowOverlap="1">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1" name="Grafik 1"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247D1"/>
    <w:rsid w:val="000A3BEA"/>
    <w:rsid w:val="000B46CF"/>
    <w:rsid w:val="001E4E9C"/>
    <w:rsid w:val="001F6E84"/>
    <w:rsid w:val="00260B53"/>
    <w:rsid w:val="00296DF7"/>
    <w:rsid w:val="002B4D99"/>
    <w:rsid w:val="002D72FD"/>
    <w:rsid w:val="002F1A70"/>
    <w:rsid w:val="00321C68"/>
    <w:rsid w:val="00334254"/>
    <w:rsid w:val="00393976"/>
    <w:rsid w:val="003A4B21"/>
    <w:rsid w:val="003F5158"/>
    <w:rsid w:val="00413E5B"/>
    <w:rsid w:val="00451229"/>
    <w:rsid w:val="00454792"/>
    <w:rsid w:val="00466E02"/>
    <w:rsid w:val="0047585B"/>
    <w:rsid w:val="004C2744"/>
    <w:rsid w:val="004E4042"/>
    <w:rsid w:val="00541602"/>
    <w:rsid w:val="005511F4"/>
    <w:rsid w:val="0055430B"/>
    <w:rsid w:val="005625E8"/>
    <w:rsid w:val="00575954"/>
    <w:rsid w:val="00595E52"/>
    <w:rsid w:val="005A4F19"/>
    <w:rsid w:val="005C20E4"/>
    <w:rsid w:val="00616846"/>
    <w:rsid w:val="00626CCE"/>
    <w:rsid w:val="006335C0"/>
    <w:rsid w:val="00652BBC"/>
    <w:rsid w:val="00663278"/>
    <w:rsid w:val="006918EF"/>
    <w:rsid w:val="006C6A2C"/>
    <w:rsid w:val="007024BC"/>
    <w:rsid w:val="00715622"/>
    <w:rsid w:val="007509BD"/>
    <w:rsid w:val="0076637D"/>
    <w:rsid w:val="0076641A"/>
    <w:rsid w:val="00834FCC"/>
    <w:rsid w:val="0086117B"/>
    <w:rsid w:val="00892B46"/>
    <w:rsid w:val="00894138"/>
    <w:rsid w:val="008E0E5A"/>
    <w:rsid w:val="0091795E"/>
    <w:rsid w:val="00950383"/>
    <w:rsid w:val="00957E9B"/>
    <w:rsid w:val="00985472"/>
    <w:rsid w:val="00A23DE9"/>
    <w:rsid w:val="00A27EFD"/>
    <w:rsid w:val="00A33868"/>
    <w:rsid w:val="00A61272"/>
    <w:rsid w:val="00AC6B6B"/>
    <w:rsid w:val="00B56C0D"/>
    <w:rsid w:val="00B91BEB"/>
    <w:rsid w:val="00BA2104"/>
    <w:rsid w:val="00BA3E5A"/>
    <w:rsid w:val="00BB4C7F"/>
    <w:rsid w:val="00BD2525"/>
    <w:rsid w:val="00C00510"/>
    <w:rsid w:val="00C07725"/>
    <w:rsid w:val="00C51C40"/>
    <w:rsid w:val="00C7285B"/>
    <w:rsid w:val="00CD0FCC"/>
    <w:rsid w:val="00D0378D"/>
    <w:rsid w:val="00D452FD"/>
    <w:rsid w:val="00D65AAA"/>
    <w:rsid w:val="00D95B7C"/>
    <w:rsid w:val="00DC57E0"/>
    <w:rsid w:val="00DF3B74"/>
    <w:rsid w:val="00E01AE6"/>
    <w:rsid w:val="00E3315C"/>
    <w:rsid w:val="00E41889"/>
    <w:rsid w:val="00E5309F"/>
    <w:rsid w:val="00E90701"/>
    <w:rsid w:val="00EB4609"/>
    <w:rsid w:val="00ED1692"/>
    <w:rsid w:val="00EE6755"/>
    <w:rsid w:val="00F05D1E"/>
    <w:rsid w:val="00F07C09"/>
    <w:rsid w:val="00F21620"/>
    <w:rsid w:val="00F274C5"/>
    <w:rsid w:val="00F547FA"/>
    <w:rsid w:val="00F6704A"/>
    <w:rsid w:val="00F70F69"/>
    <w:rsid w:val="00F72455"/>
    <w:rsid w:val="00F817BF"/>
    <w:rsid w:val="00F94B05"/>
    <w:rsid w:val="00FA6AF0"/>
    <w:rsid w:val="00FD6AEE"/>
    <w:rsid w:val="00FE0F44"/>
    <w:rsid w:val="00FF7C69"/>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950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383"/>
    <w:rPr>
      <w:rFonts w:ascii="Tahoma" w:hAnsi="Tahoma" w:cs="Tahoma"/>
      <w:sz w:val="16"/>
      <w:szCs w:val="16"/>
    </w:rPr>
  </w:style>
  <w:style w:type="character" w:styleId="Hyperlink">
    <w:name w:val="Hyperlink"/>
    <w:basedOn w:val="Absatz-Standardschriftart"/>
    <w:uiPriority w:val="99"/>
    <w:semiHidden/>
    <w:unhideWhenUsed/>
    <w:rsid w:val="002D72FD"/>
    <w:rPr>
      <w:color w:val="6B90BD" w:themeColor="hyperlink"/>
      <w:u w:val="single"/>
    </w:rPr>
  </w:style>
  <w:style w:type="character" w:styleId="Kommentarzeichen">
    <w:name w:val="annotation reference"/>
    <w:basedOn w:val="Absatz-Standardschriftart"/>
    <w:uiPriority w:val="99"/>
    <w:semiHidden/>
    <w:unhideWhenUsed/>
    <w:rsid w:val="00A23DE9"/>
    <w:rPr>
      <w:sz w:val="16"/>
      <w:szCs w:val="16"/>
    </w:rPr>
  </w:style>
  <w:style w:type="paragraph" w:styleId="Kommentartext">
    <w:name w:val="annotation text"/>
    <w:basedOn w:val="Standard"/>
    <w:link w:val="KommentartextZchn"/>
    <w:uiPriority w:val="99"/>
    <w:semiHidden/>
    <w:unhideWhenUsed/>
    <w:rsid w:val="00A23D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3DE9"/>
  </w:style>
  <w:style w:type="paragraph" w:styleId="Kommentarthema">
    <w:name w:val="annotation subject"/>
    <w:basedOn w:val="Kommentartext"/>
    <w:next w:val="Kommentartext"/>
    <w:link w:val="KommentarthemaZchn"/>
    <w:uiPriority w:val="99"/>
    <w:semiHidden/>
    <w:unhideWhenUsed/>
    <w:rsid w:val="00A23DE9"/>
    <w:rPr>
      <w:b/>
      <w:bCs/>
    </w:rPr>
  </w:style>
  <w:style w:type="character" w:customStyle="1" w:styleId="KommentarthemaZchn">
    <w:name w:val="Kommentarthema Zchn"/>
    <w:basedOn w:val="KommentartextZchn"/>
    <w:link w:val="Kommentarthema"/>
    <w:uiPriority w:val="99"/>
    <w:semiHidden/>
    <w:rsid w:val="00A23D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950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383"/>
    <w:rPr>
      <w:rFonts w:ascii="Tahoma" w:hAnsi="Tahoma" w:cs="Tahoma"/>
      <w:sz w:val="16"/>
      <w:szCs w:val="16"/>
    </w:rPr>
  </w:style>
  <w:style w:type="character" w:styleId="Hyperlink">
    <w:name w:val="Hyperlink"/>
    <w:basedOn w:val="Absatz-Standardschriftart"/>
    <w:uiPriority w:val="99"/>
    <w:semiHidden/>
    <w:unhideWhenUsed/>
    <w:rsid w:val="002D72FD"/>
    <w:rPr>
      <w:color w:val="6B90BD" w:themeColor="hyperlink"/>
      <w:u w:val="single"/>
    </w:rPr>
  </w:style>
  <w:style w:type="character" w:styleId="Kommentarzeichen">
    <w:name w:val="annotation reference"/>
    <w:basedOn w:val="Absatz-Standardschriftart"/>
    <w:uiPriority w:val="99"/>
    <w:semiHidden/>
    <w:unhideWhenUsed/>
    <w:rsid w:val="00A23DE9"/>
    <w:rPr>
      <w:sz w:val="16"/>
      <w:szCs w:val="16"/>
    </w:rPr>
  </w:style>
  <w:style w:type="paragraph" w:styleId="Kommentartext">
    <w:name w:val="annotation text"/>
    <w:basedOn w:val="Standard"/>
    <w:link w:val="KommentartextZchn"/>
    <w:uiPriority w:val="99"/>
    <w:semiHidden/>
    <w:unhideWhenUsed/>
    <w:rsid w:val="00A23D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3DE9"/>
  </w:style>
  <w:style w:type="paragraph" w:styleId="Kommentarthema">
    <w:name w:val="annotation subject"/>
    <w:basedOn w:val="Kommentartext"/>
    <w:next w:val="Kommentartext"/>
    <w:link w:val="KommentarthemaZchn"/>
    <w:uiPriority w:val="99"/>
    <w:semiHidden/>
    <w:unhideWhenUsed/>
    <w:rsid w:val="00A23DE9"/>
    <w:rPr>
      <w:b/>
      <w:bCs/>
    </w:rPr>
  </w:style>
  <w:style w:type="character" w:customStyle="1" w:styleId="KommentarthemaZchn">
    <w:name w:val="Kommentarthema Zchn"/>
    <w:basedOn w:val="KommentartextZchn"/>
    <w:link w:val="Kommentarthema"/>
    <w:uiPriority w:val="99"/>
    <w:semiHidden/>
    <w:rsid w:val="00A23D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49352">
      <w:bodyDiv w:val="1"/>
      <w:marLeft w:val="0"/>
      <w:marRight w:val="0"/>
      <w:marTop w:val="0"/>
      <w:marBottom w:val="0"/>
      <w:divBdr>
        <w:top w:val="none" w:sz="0" w:space="0" w:color="auto"/>
        <w:left w:val="none" w:sz="0" w:space="0" w:color="auto"/>
        <w:bottom w:val="none" w:sz="0" w:space="0" w:color="auto"/>
        <w:right w:val="none" w:sz="0" w:space="0" w:color="auto"/>
      </w:divBdr>
    </w:div>
    <w:div w:id="163672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tin.kirchmayr@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FA284-FB17-4A16-81EE-3866BEAE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2494</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4</cp:revision>
  <dcterms:created xsi:type="dcterms:W3CDTF">2014-10-23T05:36:00Z</dcterms:created>
  <dcterms:modified xsi:type="dcterms:W3CDTF">2014-12-17T13:07:00Z</dcterms:modified>
</cp:coreProperties>
</file>